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F0BEE" w14:textId="77777777" w:rsidR="00804DCC" w:rsidRPr="00ED40A7" w:rsidRDefault="00804DCC" w:rsidP="00804DCC">
      <w:pPr>
        <w:spacing w:after="0" w:line="240" w:lineRule="auto"/>
        <w:rPr>
          <w:rFonts w:cstheme="minorHAnsi"/>
          <w:szCs w:val="24"/>
        </w:rPr>
      </w:pPr>
      <w:bookmarkStart w:id="0" w:name="_GoBack"/>
      <w:bookmarkEnd w:id="0"/>
      <w:r w:rsidRPr="00ED40A7">
        <w:rPr>
          <w:rFonts w:cstheme="minorHAnsi"/>
          <w:szCs w:val="24"/>
        </w:rPr>
        <w:t xml:space="preserve">Znak postępowania: </w:t>
      </w:r>
      <w:r w:rsidRPr="00CE5E41">
        <w:rPr>
          <w:rFonts w:cstheme="minorHAnsi"/>
          <w:b/>
        </w:rPr>
        <w:t>2022/BZP 00273510/01</w:t>
      </w:r>
    </w:p>
    <w:p w14:paraId="07397943" w14:textId="4143D611" w:rsidR="00804DCC" w:rsidRPr="00ED40A7" w:rsidRDefault="00804DCC" w:rsidP="00804DC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2</w:t>
      </w:r>
      <w:r w:rsidRPr="00ED40A7">
        <w:rPr>
          <w:rFonts w:cstheme="minorHAnsi"/>
          <w:szCs w:val="24"/>
        </w:rPr>
        <w:t xml:space="preserve"> do SWZ</w:t>
      </w:r>
    </w:p>
    <w:p w14:paraId="42EDC3F9" w14:textId="77777777" w:rsidR="00804DCC" w:rsidRPr="00ED40A7" w:rsidRDefault="00804DCC" w:rsidP="00804DCC">
      <w:pPr>
        <w:spacing w:after="0" w:line="240" w:lineRule="auto"/>
        <w:jc w:val="right"/>
        <w:rPr>
          <w:rFonts w:cstheme="minorHAnsi"/>
          <w:szCs w:val="24"/>
        </w:rPr>
      </w:pPr>
    </w:p>
    <w:p w14:paraId="36840FFC" w14:textId="77777777" w:rsidR="00804DCC" w:rsidRPr="00E80741" w:rsidRDefault="00804DCC" w:rsidP="00804DCC">
      <w:pPr>
        <w:spacing w:after="0" w:line="240" w:lineRule="auto"/>
        <w:jc w:val="center"/>
        <w:rPr>
          <w:rFonts w:cstheme="minorHAnsi"/>
          <w:b/>
          <w:sz w:val="32"/>
          <w:szCs w:val="32"/>
        </w:rPr>
      </w:pPr>
      <w:r w:rsidRPr="00E80741">
        <w:rPr>
          <w:rStyle w:val="FontStyle93"/>
          <w:rFonts w:asciiTheme="minorHAnsi" w:hAnsiTheme="minorHAnsi" w:cstheme="minorHAnsi"/>
          <w:b/>
          <w:bCs/>
          <w:sz w:val="32"/>
          <w:szCs w:val="32"/>
        </w:rPr>
        <w:t>„</w:t>
      </w:r>
      <w:r w:rsidRPr="00E80741">
        <w:rPr>
          <w:rFonts w:eastAsia="Times New Roman" w:cstheme="minorHAnsi"/>
          <w:b/>
          <w:bCs/>
          <w:color w:val="000000"/>
          <w:sz w:val="32"/>
          <w:szCs w:val="32"/>
        </w:rPr>
        <w:t>Termomodernizacja NZOZ w Kijach</w:t>
      </w:r>
      <w:r w:rsidRPr="00E80741">
        <w:rPr>
          <w:rFonts w:cstheme="minorHAnsi"/>
          <w:b/>
          <w:sz w:val="32"/>
          <w:szCs w:val="32"/>
        </w:rPr>
        <w:t>”</w:t>
      </w:r>
    </w:p>
    <w:p w14:paraId="0365F8F0" w14:textId="77777777" w:rsidR="00804DCC" w:rsidRDefault="00804DCC" w:rsidP="00804DCC">
      <w:pPr>
        <w:spacing w:after="0" w:line="240" w:lineRule="auto"/>
        <w:jc w:val="center"/>
        <w:rPr>
          <w:rFonts w:cstheme="minorHAnsi"/>
          <w:b/>
          <w:sz w:val="32"/>
          <w:szCs w:val="24"/>
        </w:rPr>
      </w:pP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43D1AE5E"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Zgodnie z pkt 10.2.1) SWZ., w przypadku wspólnego ubiegania się o zamówienie przez Wykonawców, oświadczenie</w:t>
      </w:r>
      <w:r w:rsidRPr="00DD61DF">
        <w:rPr>
          <w:rFonts w:cstheme="minorHAnsi"/>
          <w:i/>
        </w:rPr>
        <w:t xml:space="preserve"> o spełnianiu warunków udziału w postępowaniu oraz o braku podstaw wykluczenia z postępowania</w:t>
      </w:r>
      <w:r w:rsidRPr="00DD61DF">
        <w:rPr>
          <w:rFonts w:eastAsia="Times New Roman" w:cstheme="minorHAnsi"/>
          <w:i/>
        </w:rPr>
        <w:t>, składa każdy z Wykonawców; oświadczenia te potwierdzają brak podstaw wykluczenia oraz spełnianie warunków udziału w postępowaniu, w jakim każdy z Wykonawców wykazuje spełnianie warunków udziału w postępowaniu;</w:t>
      </w:r>
    </w:p>
    <w:p w14:paraId="5E1B2589"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t>
      </w:r>
      <w:r>
        <w:rPr>
          <w:rFonts w:eastAsia="Times New Roman" w:cstheme="minorHAnsi"/>
          <w:i/>
        </w:rPr>
        <w:t>wca powołuje się na jego zasoby.</w:t>
      </w:r>
    </w:p>
    <w:p w14:paraId="527BED5B" w14:textId="77777777" w:rsidR="00B6427A" w:rsidRDefault="00B6427A" w:rsidP="00B6427A">
      <w:pPr>
        <w:spacing w:after="200" w:line="276" w:lineRule="auto"/>
        <w:jc w:val="both"/>
        <w:rPr>
          <w:rFonts w:cstheme="minorHAnsi"/>
          <w:b/>
          <w:bCs/>
          <w:u w:val="single"/>
        </w:rPr>
      </w:pPr>
    </w:p>
    <w:p w14:paraId="774DAE2C" w14:textId="77777777" w:rsidR="00B6427A" w:rsidRPr="00143F71" w:rsidRDefault="00B6427A" w:rsidP="00B6427A">
      <w:pPr>
        <w:spacing w:after="20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2E931F0" w14:textId="77777777" w:rsidR="00B6427A" w:rsidRPr="004C669A" w:rsidRDefault="00B6427A" w:rsidP="00B6427A">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372D9C4E"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lastRenderedPageBreak/>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lastRenderedPageBreak/>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87692" w14:textId="77777777" w:rsidR="00F20197" w:rsidRDefault="00F20197" w:rsidP="00BA7968">
      <w:pPr>
        <w:spacing w:after="0" w:line="240" w:lineRule="auto"/>
      </w:pPr>
      <w:r>
        <w:separator/>
      </w:r>
    </w:p>
  </w:endnote>
  <w:endnote w:type="continuationSeparator" w:id="0">
    <w:p w14:paraId="7D42A893" w14:textId="77777777" w:rsidR="00F20197" w:rsidRDefault="00F20197"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813F5B">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813F5B">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1A3B" w14:textId="77777777" w:rsidR="00F20197" w:rsidRDefault="00F20197" w:rsidP="00BA7968">
      <w:pPr>
        <w:spacing w:after="0" w:line="240" w:lineRule="auto"/>
      </w:pPr>
      <w:r>
        <w:separator/>
      </w:r>
    </w:p>
  </w:footnote>
  <w:footnote w:type="continuationSeparator" w:id="0">
    <w:p w14:paraId="4F5953EE" w14:textId="77777777" w:rsidR="00F20197" w:rsidRDefault="00F20197"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D978" w14:textId="3E468E4B" w:rsidR="000B2452" w:rsidRDefault="000B2452" w:rsidP="00804DCC">
    <w:pPr>
      <w:pStyle w:val="Nagwek"/>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04DCC"/>
    <w:rsid w:val="008106CD"/>
    <w:rsid w:val="008111E2"/>
    <w:rsid w:val="0081183E"/>
    <w:rsid w:val="00813105"/>
    <w:rsid w:val="00813F5B"/>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0197"/>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1DBD-7DE6-4F52-B2FB-9C5E7A14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6</cp:revision>
  <cp:lastPrinted>2022-02-07T13:51:00Z</cp:lastPrinted>
  <dcterms:created xsi:type="dcterms:W3CDTF">2022-05-18T13:00:00Z</dcterms:created>
  <dcterms:modified xsi:type="dcterms:W3CDTF">2022-07-22T14:17:00Z</dcterms:modified>
</cp:coreProperties>
</file>