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AB" w:rsidRPr="00747FAB" w:rsidRDefault="00740323" w:rsidP="00740323">
      <w:pPr>
        <w:spacing w:after="190"/>
        <w:ind w:right="-598"/>
        <w:rPr>
          <w:rFonts w:cstheme="minorHAnsi"/>
        </w:rPr>
      </w:pPr>
      <w:r w:rsidRPr="00747FAB">
        <w:t xml:space="preserve">Znak postępowania: </w:t>
      </w:r>
      <w:r w:rsidR="00747FAB" w:rsidRPr="00747FAB">
        <w:rPr>
          <w:rFonts w:cstheme="minorHAnsi"/>
          <w:bCs/>
        </w:rPr>
        <w:t>2</w:t>
      </w:r>
      <w:r w:rsidR="00747FAB" w:rsidRPr="00747FAB">
        <w:rPr>
          <w:rFonts w:cstheme="minorHAnsi"/>
        </w:rPr>
        <w:t>022/BZP 00062331/0</w:t>
      </w:r>
    </w:p>
    <w:p w:rsidR="00A5758F" w:rsidRPr="00747FAB" w:rsidRDefault="00B85C54" w:rsidP="00747FAB">
      <w:pPr>
        <w:jc w:val="right"/>
        <w:rPr>
          <w:rFonts w:cstheme="minorHAnsi"/>
        </w:rPr>
      </w:pPr>
      <w:r>
        <w:rPr>
          <w:rFonts w:cstheme="minorHAnsi"/>
        </w:rPr>
        <w:t xml:space="preserve">Kije, </w:t>
      </w:r>
      <w:r w:rsidR="00747FAB">
        <w:rPr>
          <w:rFonts w:cstheme="minorHAnsi"/>
        </w:rPr>
        <w:t>6 kwietnia 2022</w:t>
      </w:r>
      <w:r>
        <w:rPr>
          <w:rFonts w:cstheme="minorHAnsi"/>
        </w:rPr>
        <w:t xml:space="preserve"> r.</w:t>
      </w:r>
    </w:p>
    <w:p w:rsidR="00740323" w:rsidRDefault="00740323" w:rsidP="00747FAB">
      <w:pPr>
        <w:spacing w:after="0" w:line="276" w:lineRule="auto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Zamawiający</w:t>
      </w:r>
      <w:r>
        <w:rPr>
          <w:rFonts w:cstheme="minorHAnsi"/>
          <w:b/>
        </w:rPr>
        <w:t>:</w:t>
      </w:r>
    </w:p>
    <w:p w:rsidR="00747FAB" w:rsidRPr="00060C25" w:rsidRDefault="00747FAB" w:rsidP="00747FAB">
      <w:pPr>
        <w:spacing w:after="0" w:line="276" w:lineRule="auto"/>
        <w:ind w:right="4536"/>
        <w:jc w:val="both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:rsidR="00747FAB" w:rsidRPr="00060C25" w:rsidRDefault="00747FAB" w:rsidP="00747FAB">
      <w:pPr>
        <w:spacing w:after="0" w:line="276" w:lineRule="auto"/>
        <w:ind w:right="4536"/>
        <w:jc w:val="both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:rsidR="00747FAB" w:rsidRPr="00060C25" w:rsidRDefault="00747FAB" w:rsidP="00747FAB">
      <w:pPr>
        <w:spacing w:after="0" w:line="276" w:lineRule="auto"/>
        <w:ind w:right="4536"/>
        <w:jc w:val="both"/>
        <w:rPr>
          <w:rFonts w:cstheme="minorHAnsi"/>
        </w:rPr>
      </w:pPr>
      <w:r w:rsidRPr="00060C25">
        <w:rPr>
          <w:rFonts w:cstheme="minorHAnsi"/>
        </w:rPr>
        <w:t>NIP 662-17-36-367</w:t>
      </w:r>
    </w:p>
    <w:p w:rsidR="00747FAB" w:rsidRDefault="00747FAB" w:rsidP="00747FAB">
      <w:pPr>
        <w:spacing w:after="0" w:line="276" w:lineRule="auto"/>
        <w:ind w:right="4536"/>
        <w:jc w:val="both"/>
        <w:rPr>
          <w:rFonts w:cstheme="minorHAnsi"/>
        </w:rPr>
      </w:pPr>
      <w:r w:rsidRPr="00060C25">
        <w:rPr>
          <w:rFonts w:cstheme="minorHAnsi"/>
        </w:rPr>
        <w:t>REGON 291010085</w:t>
      </w:r>
    </w:p>
    <w:p w:rsidR="001B3A65" w:rsidRDefault="001B3A65" w:rsidP="0074401C">
      <w:pPr>
        <w:jc w:val="center"/>
        <w:rPr>
          <w:rFonts w:cstheme="minorHAnsi"/>
          <w:b/>
          <w:sz w:val="28"/>
        </w:rPr>
      </w:pPr>
    </w:p>
    <w:p w:rsidR="00F21D56" w:rsidRDefault="009535B2" w:rsidP="00747FAB">
      <w:pPr>
        <w:jc w:val="center"/>
        <w:rPr>
          <w:rFonts w:cstheme="minorHAnsi"/>
          <w:b/>
          <w:sz w:val="28"/>
          <w:u w:val="single"/>
        </w:rPr>
      </w:pPr>
      <w:r w:rsidRPr="00747FAB">
        <w:rPr>
          <w:rFonts w:cstheme="minorHAnsi"/>
          <w:b/>
          <w:sz w:val="28"/>
          <w:u w:val="single"/>
        </w:rPr>
        <w:t>Zawiadomienie o unieważnieniu postępowania</w:t>
      </w:r>
      <w:r w:rsidR="00841341" w:rsidRPr="00747FAB">
        <w:rPr>
          <w:rFonts w:cstheme="minorHAnsi"/>
          <w:b/>
          <w:sz w:val="28"/>
          <w:u w:val="single"/>
        </w:rPr>
        <w:t xml:space="preserve"> pod nazwą</w:t>
      </w:r>
      <w:r w:rsidR="00841341" w:rsidRPr="00747FAB">
        <w:rPr>
          <w:rFonts w:cstheme="minorHAnsi"/>
          <w:b/>
          <w:sz w:val="28"/>
        </w:rPr>
        <w:t>:</w:t>
      </w:r>
    </w:p>
    <w:p w:rsidR="00747FAB" w:rsidRPr="00747FAB" w:rsidRDefault="00747FAB" w:rsidP="00747FAB">
      <w:pPr>
        <w:jc w:val="center"/>
        <w:rPr>
          <w:rFonts w:cstheme="minorHAnsi"/>
          <w:b/>
          <w:sz w:val="28"/>
          <w:u w:val="single"/>
        </w:rPr>
      </w:pPr>
    </w:p>
    <w:p w:rsidR="00F21D56" w:rsidRPr="00747FAB" w:rsidRDefault="00747FAB" w:rsidP="00747FAB">
      <w:pPr>
        <w:spacing w:line="276" w:lineRule="auto"/>
        <w:jc w:val="center"/>
        <w:rPr>
          <w:rFonts w:cstheme="minorHAnsi"/>
          <w:b/>
          <w:bCs/>
          <w:i/>
          <w:sz w:val="32"/>
          <w:szCs w:val="30"/>
        </w:rPr>
      </w:pPr>
      <w:r w:rsidRPr="00747FAB">
        <w:rPr>
          <w:rStyle w:val="FontStyle93"/>
          <w:rFonts w:asciiTheme="minorHAnsi" w:hAnsiTheme="minorHAnsi" w:cstheme="minorHAnsi"/>
          <w:b/>
          <w:bCs/>
          <w:i/>
          <w:sz w:val="32"/>
        </w:rPr>
        <w:t xml:space="preserve">„Zaprojektowanie i wykonanie przebudowy dróg gminnych </w:t>
      </w:r>
      <w:r w:rsidRPr="00747FAB">
        <w:rPr>
          <w:rStyle w:val="FontStyle93"/>
          <w:rFonts w:asciiTheme="minorHAnsi" w:hAnsiTheme="minorHAnsi" w:cstheme="minorHAnsi"/>
          <w:b/>
          <w:bCs/>
          <w:i/>
          <w:sz w:val="32"/>
        </w:rPr>
        <w:br/>
        <w:t>w miejscowościach Gołuchów, Kliszów i Umianowice na terenie Gminy Kije”</w:t>
      </w:r>
    </w:p>
    <w:p w:rsidR="00747FAB" w:rsidRDefault="00841341" w:rsidP="00747FAB">
      <w:pPr>
        <w:spacing w:after="120" w:line="360" w:lineRule="auto"/>
        <w:jc w:val="both"/>
        <w:rPr>
          <w:rStyle w:val="FontStyle93"/>
          <w:rFonts w:asciiTheme="minorHAnsi" w:hAnsiTheme="minorHAnsi" w:cstheme="minorHAnsi"/>
          <w:b/>
          <w:bCs/>
          <w:sz w:val="22"/>
          <w:szCs w:val="22"/>
        </w:rPr>
      </w:pPr>
      <w:r w:rsidRPr="00740323">
        <w:rPr>
          <w:rFonts w:cstheme="minorHAnsi"/>
        </w:rPr>
        <w:t xml:space="preserve">Zamawiający, zgodnie z przepisem art. </w:t>
      </w:r>
      <w:r w:rsidR="009535B2" w:rsidRPr="00740323">
        <w:rPr>
          <w:rFonts w:cstheme="minorHAnsi"/>
        </w:rPr>
        <w:t xml:space="preserve">260 ust. 1 </w:t>
      </w:r>
      <w:r w:rsidR="00747FAB">
        <w:rPr>
          <w:rFonts w:cstheme="minorHAnsi"/>
        </w:rPr>
        <w:t xml:space="preserve">w zw. z art. 255 pkt 3 </w:t>
      </w:r>
      <w:r w:rsidR="009535B2" w:rsidRPr="00740323">
        <w:rPr>
          <w:rFonts w:cstheme="minorHAnsi"/>
        </w:rPr>
        <w:t xml:space="preserve">p.z.p., </w:t>
      </w:r>
      <w:r w:rsidR="009535B2" w:rsidRPr="00740323">
        <w:rPr>
          <w:rFonts w:cstheme="minorHAnsi"/>
          <w:b/>
          <w:u w:val="single"/>
        </w:rPr>
        <w:t>informuje o unieważnieniu postępowania</w:t>
      </w:r>
      <w:r w:rsidR="009535B2" w:rsidRPr="00740323">
        <w:rPr>
          <w:rFonts w:cstheme="minorHAnsi"/>
        </w:rPr>
        <w:t xml:space="preserve"> </w:t>
      </w:r>
      <w:r w:rsidRPr="00740323">
        <w:rPr>
          <w:rFonts w:cstheme="minorHAnsi"/>
        </w:rPr>
        <w:t xml:space="preserve">o udzielenie zamówienia pod </w:t>
      </w:r>
      <w:r w:rsidRPr="00747FAB">
        <w:rPr>
          <w:rFonts w:cstheme="minorHAnsi"/>
        </w:rPr>
        <w:t xml:space="preserve">nazwą </w:t>
      </w:r>
      <w:r w:rsidR="00747FAB" w:rsidRPr="00747FAB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„Zaprojektowanie i wykonanie przebudowy dróg gminnych w miejscowościach Gołuchów, Kliszów i Umianowice na terenie Gminy Kije”</w:t>
      </w:r>
      <w:r w:rsidR="00747FAB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.</w:t>
      </w:r>
    </w:p>
    <w:p w:rsidR="009535B2" w:rsidRPr="009C36C5" w:rsidRDefault="009535B2" w:rsidP="00747FAB">
      <w:pPr>
        <w:spacing w:after="120" w:line="360" w:lineRule="auto"/>
        <w:jc w:val="center"/>
        <w:rPr>
          <w:b/>
          <w:u w:val="single"/>
        </w:rPr>
      </w:pPr>
      <w:r w:rsidRPr="009C36C5">
        <w:rPr>
          <w:b/>
          <w:u w:val="single"/>
        </w:rPr>
        <w:t>Uzasadnienie prawne i faktyczne</w:t>
      </w:r>
    </w:p>
    <w:p w:rsidR="00740323" w:rsidRDefault="009535B2" w:rsidP="00B838F5">
      <w:pPr>
        <w:spacing w:after="120" w:line="360" w:lineRule="auto"/>
        <w:jc w:val="both"/>
      </w:pPr>
      <w:r>
        <w:t xml:space="preserve">Zgodnie z przepisem </w:t>
      </w:r>
      <w:r w:rsidR="00740323">
        <w:t>art. 254 p.z.p., p</w:t>
      </w:r>
      <w:r w:rsidR="00740323" w:rsidRPr="00740323">
        <w:t>ostępowanie o udzielenie zamówienia kończy się: 1) zawarciem umowy w sprawie zamówienia publicznego albo 2) unieważnieniem postępowania.</w:t>
      </w:r>
    </w:p>
    <w:p w:rsidR="00747FAB" w:rsidRDefault="00747FAB" w:rsidP="00B838F5">
      <w:pPr>
        <w:spacing w:after="120" w:line="360" w:lineRule="auto"/>
        <w:jc w:val="both"/>
      </w:pPr>
      <w:r>
        <w:t>W niniejszym postępowaniu otwarto następującą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5"/>
        <w:gridCol w:w="2218"/>
        <w:gridCol w:w="2202"/>
        <w:gridCol w:w="2217"/>
      </w:tblGrid>
      <w:tr w:rsidR="00747FAB" w:rsidTr="002077A8">
        <w:tc>
          <w:tcPr>
            <w:tcW w:w="2425" w:type="dxa"/>
            <w:vMerge w:val="restart"/>
            <w:shd w:val="clear" w:color="auto" w:fill="5B9BD5" w:themeFill="accent1"/>
          </w:tcPr>
          <w:p w:rsidR="00747FAB" w:rsidRDefault="00747FAB" w:rsidP="002077A8">
            <w:pPr>
              <w:jc w:val="center"/>
            </w:pPr>
            <w:r w:rsidRPr="00260B06">
              <w:rPr>
                <w:b/>
              </w:rPr>
              <w:t>WYKONAWCA</w:t>
            </w:r>
          </w:p>
        </w:tc>
        <w:tc>
          <w:tcPr>
            <w:tcW w:w="6637" w:type="dxa"/>
            <w:gridSpan w:val="3"/>
            <w:shd w:val="clear" w:color="auto" w:fill="FFD966" w:themeFill="accent4" w:themeFillTint="99"/>
          </w:tcPr>
          <w:p w:rsidR="00747FAB" w:rsidRPr="00260B06" w:rsidRDefault="00747FAB" w:rsidP="002077A8">
            <w:pPr>
              <w:jc w:val="center"/>
              <w:rPr>
                <w:b/>
              </w:rPr>
            </w:pPr>
            <w:r w:rsidRPr="00260B06">
              <w:rPr>
                <w:b/>
              </w:rPr>
              <w:t>KRYTERIUM</w:t>
            </w:r>
          </w:p>
        </w:tc>
      </w:tr>
      <w:tr w:rsidR="00747FAB" w:rsidTr="002077A8">
        <w:trPr>
          <w:trHeight w:val="1506"/>
        </w:trPr>
        <w:tc>
          <w:tcPr>
            <w:tcW w:w="2425" w:type="dxa"/>
            <w:vMerge/>
            <w:shd w:val="clear" w:color="auto" w:fill="5B9BD5" w:themeFill="accent1"/>
          </w:tcPr>
          <w:p w:rsidR="00747FAB" w:rsidRPr="00260B06" w:rsidRDefault="00747FAB" w:rsidP="002077A8">
            <w:pPr>
              <w:jc w:val="center"/>
              <w:rPr>
                <w:b/>
              </w:rPr>
            </w:pPr>
          </w:p>
        </w:tc>
        <w:tc>
          <w:tcPr>
            <w:tcW w:w="2218" w:type="dxa"/>
            <w:shd w:val="clear" w:color="auto" w:fill="FFD966" w:themeFill="accent4" w:themeFillTint="99"/>
          </w:tcPr>
          <w:p w:rsidR="00747FAB" w:rsidRPr="00260B06" w:rsidRDefault="00747FAB" w:rsidP="002077A8">
            <w:pPr>
              <w:jc w:val="center"/>
              <w:rPr>
                <w:b/>
              </w:rPr>
            </w:pPr>
            <w:r w:rsidRPr="00260B06">
              <w:rPr>
                <w:b/>
              </w:rPr>
              <w:t>Cena brutto</w:t>
            </w:r>
          </w:p>
        </w:tc>
        <w:tc>
          <w:tcPr>
            <w:tcW w:w="2202" w:type="dxa"/>
            <w:shd w:val="clear" w:color="auto" w:fill="FFD966" w:themeFill="accent4" w:themeFillTint="99"/>
          </w:tcPr>
          <w:p w:rsidR="00747FAB" w:rsidRPr="00260B06" w:rsidRDefault="00747FAB" w:rsidP="002077A8">
            <w:pPr>
              <w:jc w:val="center"/>
              <w:rPr>
                <w:b/>
              </w:rPr>
            </w:pPr>
            <w:r w:rsidRPr="00972F95">
              <w:rPr>
                <w:rFonts w:eastAsia="Batang" w:cstheme="minorHAnsi"/>
                <w:b/>
                <w:lang w:eastAsia="x-none" w:bidi="pl-PL"/>
              </w:rPr>
              <w:t>Wydłużony okres udzielonej gwarancji jakości</w:t>
            </w:r>
          </w:p>
        </w:tc>
        <w:tc>
          <w:tcPr>
            <w:tcW w:w="2217" w:type="dxa"/>
            <w:shd w:val="clear" w:color="auto" w:fill="FFD966" w:themeFill="accent4" w:themeFillTint="99"/>
          </w:tcPr>
          <w:p w:rsidR="00747FAB" w:rsidRDefault="00747FAB" w:rsidP="002077A8">
            <w:pPr>
              <w:jc w:val="center"/>
            </w:pPr>
            <w:r w:rsidRPr="00972F95">
              <w:rPr>
                <w:rFonts w:eastAsia="Batang" w:cstheme="minorHAnsi"/>
                <w:b/>
                <w:lang w:bidi="pl-PL"/>
              </w:rPr>
              <w:t>Doświadczenie kierownika budowy wyznaczonego do realizacji zamówienia</w:t>
            </w:r>
          </w:p>
        </w:tc>
      </w:tr>
      <w:tr w:rsidR="00747FAB" w:rsidTr="002077A8">
        <w:tc>
          <w:tcPr>
            <w:tcW w:w="2425" w:type="dxa"/>
            <w:shd w:val="clear" w:color="auto" w:fill="5B9BD5" w:themeFill="accent1"/>
          </w:tcPr>
          <w:p w:rsidR="00747FAB" w:rsidRDefault="00747FAB" w:rsidP="002077A8">
            <w:pPr>
              <w:jc w:val="center"/>
            </w:pPr>
            <w:r w:rsidRPr="00E34C26">
              <w:rPr>
                <w:b/>
              </w:rPr>
              <w:t xml:space="preserve">  STAR BUDOWA INWESTYCJE sp. z o.o. z siedzibą w Tychowie Starym</w:t>
            </w:r>
            <w:r w:rsidRPr="009C5167">
              <w:t>, Tychów Stary 75, 27-220 Mirzec, KRS: 0000682353, NIP: 6642137703, REGON: 367520212</w:t>
            </w:r>
            <w:r w:rsidRPr="00E34C26">
              <w:rPr>
                <w:b/>
              </w:rPr>
              <w:t xml:space="preserve"> </w:t>
            </w:r>
          </w:p>
        </w:tc>
        <w:tc>
          <w:tcPr>
            <w:tcW w:w="2218" w:type="dxa"/>
          </w:tcPr>
          <w:p w:rsidR="00747FAB" w:rsidRPr="00320C8C" w:rsidRDefault="00747FAB" w:rsidP="002077A8">
            <w:pPr>
              <w:jc w:val="center"/>
            </w:pPr>
            <w:r>
              <w:rPr>
                <w:rFonts w:cstheme="minorHAnsi"/>
                <w:b/>
              </w:rPr>
              <w:t>6.</w:t>
            </w:r>
            <w:r w:rsidRPr="00475DAA">
              <w:rPr>
                <w:rFonts w:cstheme="minorHAnsi"/>
                <w:b/>
              </w:rPr>
              <w:t xml:space="preserve">221.989,78 zł </w:t>
            </w:r>
            <w:r>
              <w:rPr>
                <w:rFonts w:cstheme="minorHAnsi"/>
                <w:b/>
              </w:rPr>
              <w:br/>
            </w:r>
            <w:r w:rsidRPr="00475DAA">
              <w:rPr>
                <w:rFonts w:cstheme="minorHAnsi"/>
              </w:rPr>
              <w:t>(sześć milionów dwieście dwadzieścia jeden tysięcy dziewięćset osiemdziesiąt dziewięć 78/100)</w:t>
            </w:r>
            <w:r w:rsidRPr="00475DAA">
              <w:rPr>
                <w:rFonts w:cstheme="minorHAnsi"/>
                <w:b/>
              </w:rPr>
              <w:t xml:space="preserve"> brutto</w:t>
            </w:r>
          </w:p>
        </w:tc>
        <w:tc>
          <w:tcPr>
            <w:tcW w:w="2202" w:type="dxa"/>
          </w:tcPr>
          <w:p w:rsidR="00747FAB" w:rsidRPr="00320C8C" w:rsidRDefault="00747FAB" w:rsidP="002077A8">
            <w:pPr>
              <w:jc w:val="center"/>
            </w:pPr>
            <w:r>
              <w:rPr>
                <w:b/>
              </w:rPr>
              <w:t>72 miesięcy</w:t>
            </w:r>
          </w:p>
        </w:tc>
        <w:tc>
          <w:tcPr>
            <w:tcW w:w="2217" w:type="dxa"/>
          </w:tcPr>
          <w:p w:rsidR="00747FAB" w:rsidRPr="00475DAA" w:rsidRDefault="00747FAB" w:rsidP="002077A8">
            <w:pPr>
              <w:jc w:val="center"/>
              <w:rPr>
                <w:b/>
              </w:rPr>
            </w:pPr>
            <w:r w:rsidRPr="00475DAA">
              <w:rPr>
                <w:rFonts w:cstheme="minorHAnsi"/>
              </w:rPr>
              <w:t>doświadczenie w pełnieniu funkcji kierownika budowy lub kierownika robót przy budowie lub przebudowie lub rozbudowie przy realizacji</w:t>
            </w:r>
            <w:r w:rsidRPr="00475DAA">
              <w:rPr>
                <w:rFonts w:cstheme="minorHAnsi"/>
                <w:b/>
              </w:rPr>
              <w:t xml:space="preserve"> 4 inwestycji drogowych</w:t>
            </w:r>
          </w:p>
        </w:tc>
      </w:tr>
    </w:tbl>
    <w:p w:rsidR="00747FAB" w:rsidRDefault="00747FAB" w:rsidP="00B838F5">
      <w:pPr>
        <w:spacing w:after="120" w:line="360" w:lineRule="auto"/>
        <w:jc w:val="both"/>
      </w:pPr>
    </w:p>
    <w:p w:rsidR="005503A1" w:rsidRDefault="005503A1" w:rsidP="005503A1">
      <w:pPr>
        <w:spacing w:after="120" w:line="360" w:lineRule="auto"/>
        <w:jc w:val="both"/>
        <w:rPr>
          <w:rFonts w:cstheme="minorHAnsi"/>
        </w:rPr>
      </w:pPr>
      <w:r>
        <w:lastRenderedPageBreak/>
        <w:t>Powyższa oferta</w:t>
      </w:r>
      <w:r w:rsidRPr="00334A5E">
        <w:t xml:space="preserve"> </w:t>
      </w:r>
      <w:r>
        <w:rPr>
          <w:rFonts w:cstheme="minorHAnsi"/>
        </w:rPr>
        <w:t>przekracza kwotę, która została przez Zamawiającego przewidziana na realizację zamówienia.</w:t>
      </w:r>
    </w:p>
    <w:p w:rsidR="005503A1" w:rsidRDefault="005503A1" w:rsidP="005503A1">
      <w:pPr>
        <w:spacing w:line="360" w:lineRule="auto"/>
        <w:jc w:val="both"/>
      </w:pPr>
      <w:r>
        <w:rPr>
          <w:rFonts w:cstheme="minorHAnsi"/>
        </w:rPr>
        <w:t xml:space="preserve">Powyższa oferta opiewa na kwotę </w:t>
      </w:r>
      <w:r>
        <w:rPr>
          <w:rFonts w:cstheme="minorHAnsi"/>
          <w:b/>
        </w:rPr>
        <w:t>6.</w:t>
      </w:r>
      <w:r w:rsidRPr="00475DAA">
        <w:rPr>
          <w:rFonts w:cstheme="minorHAnsi"/>
          <w:b/>
        </w:rPr>
        <w:t xml:space="preserve">221.989,78 zł </w:t>
      </w:r>
      <w:r w:rsidRPr="00475DAA">
        <w:rPr>
          <w:rFonts w:cstheme="minorHAnsi"/>
        </w:rPr>
        <w:t>(sześć milionów dwieście dwadzieścia jeden tysięcy dziewięćset osiemdziesiąt dziewięć 78/100)</w:t>
      </w:r>
      <w:r w:rsidRPr="00475DAA">
        <w:rPr>
          <w:rFonts w:cstheme="minorHAnsi"/>
          <w:b/>
        </w:rPr>
        <w:t xml:space="preserve"> brutto</w:t>
      </w:r>
      <w:r>
        <w:t>.</w:t>
      </w:r>
    </w:p>
    <w:p w:rsidR="005503A1" w:rsidRDefault="005503A1" w:rsidP="005503A1">
      <w:pPr>
        <w:spacing w:after="120" w:line="360" w:lineRule="auto"/>
        <w:jc w:val="both"/>
      </w:pPr>
      <w:r>
        <w:t xml:space="preserve">Tymczasem, Zamawiający, przed otwarciem ofert, udostępnił na stronie internetowej prowadzonego postępowania informację o kwocie, jaką zamierza przeznaczyć na sfinansowanie tej części zamówienia, która wynosi </w:t>
      </w:r>
      <w:r w:rsidRPr="007D163E">
        <w:rPr>
          <w:rFonts w:cstheme="minorHAnsi"/>
          <w:b/>
          <w:u w:val="single"/>
        </w:rPr>
        <w:t>2.509.250,00 zł</w:t>
      </w:r>
      <w:r w:rsidRPr="007D163E">
        <w:rPr>
          <w:rFonts w:cstheme="minorHAnsi"/>
          <w:b/>
        </w:rPr>
        <w:t>.</w:t>
      </w:r>
    </w:p>
    <w:p w:rsidR="005503A1" w:rsidRDefault="005503A1" w:rsidP="005503A1">
      <w:pPr>
        <w:spacing w:after="120" w:line="360" w:lineRule="auto"/>
        <w:jc w:val="both"/>
      </w:pPr>
      <w:r>
        <w:t xml:space="preserve">Zgodnie zaś z przepisem art. 255 pkt 3 p.z.p., </w:t>
      </w:r>
      <w:r w:rsidRPr="00747FAB">
        <w:t>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</w:t>
      </w:r>
      <w:r>
        <w:t>osztu najkorzystniejszej oferty.</w:t>
      </w:r>
    </w:p>
    <w:p w:rsidR="005503A1" w:rsidRDefault="005503A1" w:rsidP="005503A1">
      <w:pPr>
        <w:spacing w:after="120" w:line="360" w:lineRule="auto"/>
        <w:jc w:val="both"/>
      </w:pPr>
      <w:r>
        <w:t xml:space="preserve">Biorąc pod uwagę powyższe Zamawiający podkreśla, że powyższa oferta przekracza kwotę, którą Zamawiający przewidział na sfinansowanie tej części zamówienia. Jednocześnie, </w:t>
      </w:r>
      <w:r w:rsidRPr="00183D38">
        <w:rPr>
          <w:b/>
          <w:u w:val="single"/>
        </w:rPr>
        <w:t xml:space="preserve">Zamawiający nie </w:t>
      </w:r>
      <w:r>
        <w:rPr>
          <w:b/>
          <w:u w:val="single"/>
        </w:rPr>
        <w:t>może zwiększyć</w:t>
      </w:r>
      <w:r w:rsidRPr="00183D38">
        <w:rPr>
          <w:b/>
          <w:u w:val="single"/>
        </w:rPr>
        <w:t xml:space="preserve"> tej kwoty</w:t>
      </w:r>
      <w:r>
        <w:t>.</w:t>
      </w:r>
    </w:p>
    <w:p w:rsidR="005503A1" w:rsidRPr="008C3148" w:rsidRDefault="005503A1" w:rsidP="005503A1">
      <w:pPr>
        <w:spacing w:after="120" w:line="360" w:lineRule="auto"/>
        <w:jc w:val="both"/>
        <w:rPr>
          <w:u w:val="single"/>
        </w:rPr>
      </w:pPr>
      <w:r>
        <w:t xml:space="preserve">Mając na uwadze powyższe, Zamawiający – na podstawie przepisu art. 255 pkt 3 p.z.p. – </w:t>
      </w:r>
      <w:r>
        <w:rPr>
          <w:u w:val="single"/>
        </w:rPr>
        <w:t>unieważnia postępowanie.</w:t>
      </w:r>
    </w:p>
    <w:p w:rsidR="005503A1" w:rsidRDefault="005503A1" w:rsidP="005503A1">
      <w:pPr>
        <w:spacing w:after="120" w:line="360" w:lineRule="auto"/>
        <w:jc w:val="both"/>
      </w:pPr>
      <w:r>
        <w:t>Zgodnie zaś z przepisem art. 513 pkt 1 p.z.p. Wykonawcy mogą wnieść odwołanie. Odwołanie wnosi się do Prezesa Krajowej Izby Odwoławczej, zgodnie z art. 514 ust. 1 p.z.p. Odwołujący jest zobowiązany przekazać zamawiającemu odwołanie wniesione w formie elektronicznej albo w postaci elektronicznej albo kopię tego odwołania, jeżeli zostało ono wniesione w formie pisemnej przed upływem terminu do wniesienia odwołania, w taki sposób, aby mógł on zapoznać się z jego treścią przed upływem tego terminu, zgodnie z art. 514 ust. 2 i 3 p.z.p.</w:t>
      </w:r>
    </w:p>
    <w:p w:rsidR="005503A1" w:rsidRDefault="005503A1" w:rsidP="005503A1">
      <w:pPr>
        <w:spacing w:after="120" w:line="360" w:lineRule="auto"/>
        <w:jc w:val="both"/>
      </w:pPr>
      <w:r>
        <w:t>J</w:t>
      </w:r>
      <w:r w:rsidRPr="00C21964">
        <w:t>ednocześnie</w:t>
      </w:r>
      <w:r>
        <w:t xml:space="preserve"> </w:t>
      </w:r>
      <w:r w:rsidRPr="00C21964">
        <w:t xml:space="preserve">Zamawiający informuje, że zgodnie z </w:t>
      </w:r>
      <w:r>
        <w:t xml:space="preserve">przepisem </w:t>
      </w:r>
      <w:r w:rsidRPr="00C21964">
        <w:t xml:space="preserve">art. 262 </w:t>
      </w:r>
      <w:r>
        <w:t>p.z.p.</w:t>
      </w:r>
      <w:r w:rsidRPr="00C21964">
        <w:t>, o wszczęciu kolejnego</w:t>
      </w:r>
      <w:r>
        <w:t xml:space="preserve"> </w:t>
      </w:r>
      <w:r w:rsidRPr="00C21964">
        <w:t>postępowania,</w:t>
      </w:r>
      <w:r>
        <w:t xml:space="preserve"> </w:t>
      </w:r>
      <w:r w:rsidRPr="00C21964">
        <w:t>które</w:t>
      </w:r>
      <w:r>
        <w:t xml:space="preserve"> </w:t>
      </w:r>
      <w:r w:rsidRPr="00C21964">
        <w:t>dotyczy</w:t>
      </w:r>
      <w:r>
        <w:t xml:space="preserve"> </w:t>
      </w:r>
      <w:r w:rsidRPr="00C21964">
        <w:t>tego</w:t>
      </w:r>
      <w:r>
        <w:t xml:space="preserve"> </w:t>
      </w:r>
      <w:r w:rsidRPr="00C21964">
        <w:t>samego</w:t>
      </w:r>
      <w:r>
        <w:t xml:space="preserve"> </w:t>
      </w:r>
      <w:r w:rsidRPr="00C21964">
        <w:t>przedmiotu</w:t>
      </w:r>
      <w:r>
        <w:t xml:space="preserve"> </w:t>
      </w:r>
      <w:r w:rsidRPr="00C21964">
        <w:t>zamówienia</w:t>
      </w:r>
      <w:r>
        <w:t xml:space="preserve"> </w:t>
      </w:r>
      <w:r w:rsidRPr="00C21964">
        <w:t>lub</w:t>
      </w:r>
      <w:r>
        <w:t xml:space="preserve"> </w:t>
      </w:r>
      <w:r w:rsidRPr="00C21964">
        <w:t>obejmuje</w:t>
      </w:r>
      <w:r>
        <w:t xml:space="preserve"> </w:t>
      </w:r>
      <w:r w:rsidRPr="00C21964">
        <w:t>ten</w:t>
      </w:r>
      <w:r>
        <w:t xml:space="preserve"> </w:t>
      </w:r>
      <w:r w:rsidRPr="00C21964">
        <w:t>sam</w:t>
      </w:r>
      <w:r>
        <w:t xml:space="preserve"> </w:t>
      </w:r>
      <w:r w:rsidRPr="00C21964">
        <w:t>przedmiot zamówienia niezwłocznie zawiadomi wykonawców, którzy ubiegali się o udzielenie</w:t>
      </w:r>
      <w:r>
        <w:t xml:space="preserve"> </w:t>
      </w:r>
      <w:r w:rsidRPr="00C21964">
        <w:t>zamówienia w tym postępowaniu</w:t>
      </w:r>
      <w:r>
        <w:t>.</w:t>
      </w:r>
    </w:p>
    <w:p w:rsidR="00B838F5" w:rsidRDefault="00B838F5" w:rsidP="005503A1">
      <w:pPr>
        <w:spacing w:after="120" w:line="360" w:lineRule="auto"/>
        <w:jc w:val="both"/>
      </w:pPr>
      <w:bookmarkStart w:id="0" w:name="_GoBack"/>
      <w:bookmarkEnd w:id="0"/>
    </w:p>
    <w:sectPr w:rsidR="00B838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94" w:rsidRDefault="00A33194" w:rsidP="00AF60AD">
      <w:pPr>
        <w:spacing w:after="0" w:line="240" w:lineRule="auto"/>
      </w:pPr>
      <w:r>
        <w:separator/>
      </w:r>
    </w:p>
  </w:endnote>
  <w:endnote w:type="continuationSeparator" w:id="0">
    <w:p w:rsidR="00A33194" w:rsidRDefault="00A33194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F60AD" w:rsidRPr="00AF60AD" w:rsidRDefault="00AF60AD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5503A1">
              <w:rPr>
                <w:bCs/>
                <w:noProof/>
                <w:sz w:val="20"/>
                <w:szCs w:val="20"/>
              </w:rPr>
              <w:t>2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5503A1">
              <w:rPr>
                <w:bCs/>
                <w:noProof/>
                <w:sz w:val="20"/>
                <w:szCs w:val="20"/>
              </w:rPr>
              <w:t>2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60AD" w:rsidRDefault="00AF6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94" w:rsidRDefault="00A33194" w:rsidP="00AF60AD">
      <w:pPr>
        <w:spacing w:after="0" w:line="240" w:lineRule="auto"/>
      </w:pPr>
      <w:r>
        <w:separator/>
      </w:r>
    </w:p>
  </w:footnote>
  <w:footnote w:type="continuationSeparator" w:id="0">
    <w:p w:rsidR="00A33194" w:rsidRDefault="00A33194" w:rsidP="00AF6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17D7"/>
    <w:multiLevelType w:val="hybridMultilevel"/>
    <w:tmpl w:val="4F32A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2C7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D14D7"/>
    <w:multiLevelType w:val="hybridMultilevel"/>
    <w:tmpl w:val="CE94985A"/>
    <w:lvl w:ilvl="0" w:tplc="74543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D5513"/>
    <w:multiLevelType w:val="hybridMultilevel"/>
    <w:tmpl w:val="64162A04"/>
    <w:lvl w:ilvl="0" w:tplc="49BE8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651B5"/>
    <w:multiLevelType w:val="hybridMultilevel"/>
    <w:tmpl w:val="C832D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30445"/>
    <w:multiLevelType w:val="hybridMultilevel"/>
    <w:tmpl w:val="22AED198"/>
    <w:lvl w:ilvl="0" w:tplc="3E4EC6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5466C"/>
    <w:multiLevelType w:val="hybridMultilevel"/>
    <w:tmpl w:val="3C40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D6F1A"/>
    <w:multiLevelType w:val="hybridMultilevel"/>
    <w:tmpl w:val="631454FC"/>
    <w:lvl w:ilvl="0" w:tplc="23AA9CA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4F4420"/>
    <w:multiLevelType w:val="hybridMultilevel"/>
    <w:tmpl w:val="22CC527E"/>
    <w:lvl w:ilvl="0" w:tplc="2A543B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82DB5"/>
    <w:multiLevelType w:val="hybridMultilevel"/>
    <w:tmpl w:val="7A78BEFC"/>
    <w:lvl w:ilvl="0" w:tplc="2E76B63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576A3"/>
    <w:multiLevelType w:val="hybridMultilevel"/>
    <w:tmpl w:val="4E1A9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F023B"/>
    <w:multiLevelType w:val="hybridMultilevel"/>
    <w:tmpl w:val="A50091B8"/>
    <w:lvl w:ilvl="0" w:tplc="F146C87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33938"/>
    <w:multiLevelType w:val="hybridMultilevel"/>
    <w:tmpl w:val="5FF0E752"/>
    <w:lvl w:ilvl="0" w:tplc="9D3ECB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E7DC6"/>
    <w:multiLevelType w:val="multilevel"/>
    <w:tmpl w:val="D1DA32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3E156B10"/>
    <w:multiLevelType w:val="hybridMultilevel"/>
    <w:tmpl w:val="1E5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C1A82"/>
    <w:multiLevelType w:val="hybridMultilevel"/>
    <w:tmpl w:val="2B8296D8"/>
    <w:lvl w:ilvl="0" w:tplc="E976D7A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7BD9"/>
    <w:multiLevelType w:val="hybridMultilevel"/>
    <w:tmpl w:val="66041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A5928"/>
    <w:multiLevelType w:val="hybridMultilevel"/>
    <w:tmpl w:val="44B09408"/>
    <w:lvl w:ilvl="0" w:tplc="A23EAD02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79A27C6"/>
    <w:multiLevelType w:val="hybridMultilevel"/>
    <w:tmpl w:val="5F9C6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87E8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2C1073"/>
    <w:multiLevelType w:val="hybridMultilevel"/>
    <w:tmpl w:val="354E3ABC"/>
    <w:lvl w:ilvl="0" w:tplc="9F0C4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EC5366"/>
    <w:multiLevelType w:val="hybridMultilevel"/>
    <w:tmpl w:val="4E1A9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D1986"/>
    <w:multiLevelType w:val="hybridMultilevel"/>
    <w:tmpl w:val="4604685A"/>
    <w:lvl w:ilvl="0" w:tplc="413C1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6730D0"/>
    <w:multiLevelType w:val="hybridMultilevel"/>
    <w:tmpl w:val="A3E4FDEA"/>
    <w:lvl w:ilvl="0" w:tplc="7F86D2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0EFB"/>
    <w:multiLevelType w:val="hybridMultilevel"/>
    <w:tmpl w:val="E44A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E4806"/>
    <w:multiLevelType w:val="hybridMultilevel"/>
    <w:tmpl w:val="66BCCB5E"/>
    <w:lvl w:ilvl="0" w:tplc="9336E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A01900"/>
    <w:multiLevelType w:val="hybridMultilevel"/>
    <w:tmpl w:val="4E1A9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24621"/>
    <w:multiLevelType w:val="hybridMultilevel"/>
    <w:tmpl w:val="E91A07A2"/>
    <w:lvl w:ilvl="0" w:tplc="FB7E9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0105B9"/>
    <w:multiLevelType w:val="hybridMultilevel"/>
    <w:tmpl w:val="FE0470E0"/>
    <w:lvl w:ilvl="0" w:tplc="4C828FE0">
      <w:start w:val="682"/>
      <w:numFmt w:val="decimal"/>
      <w:lvlText w:val="%1"/>
      <w:lvlJc w:val="left"/>
      <w:pPr>
        <w:ind w:left="1080" w:hanging="360"/>
      </w:pPr>
      <w:rPr>
        <w:rFonts w:cstheme="minorBidi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E86153"/>
    <w:multiLevelType w:val="hybridMultilevel"/>
    <w:tmpl w:val="9F2A7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76930"/>
    <w:multiLevelType w:val="hybridMultilevel"/>
    <w:tmpl w:val="1DE41790"/>
    <w:lvl w:ilvl="0" w:tplc="8A0206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F07F0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24"/>
  </w:num>
  <w:num w:numId="5">
    <w:abstractNumId w:val="5"/>
  </w:num>
  <w:num w:numId="6">
    <w:abstractNumId w:val="28"/>
  </w:num>
  <w:num w:numId="7">
    <w:abstractNumId w:val="7"/>
  </w:num>
  <w:num w:numId="8">
    <w:abstractNumId w:val="22"/>
  </w:num>
  <w:num w:numId="9">
    <w:abstractNumId w:val="16"/>
  </w:num>
  <w:num w:numId="10">
    <w:abstractNumId w:val="20"/>
  </w:num>
  <w:num w:numId="11">
    <w:abstractNumId w:val="1"/>
  </w:num>
  <w:num w:numId="12">
    <w:abstractNumId w:val="19"/>
  </w:num>
  <w:num w:numId="13">
    <w:abstractNumId w:val="31"/>
  </w:num>
  <w:num w:numId="14">
    <w:abstractNumId w:val="9"/>
  </w:num>
  <w:num w:numId="15">
    <w:abstractNumId w:val="15"/>
  </w:num>
  <w:num w:numId="16">
    <w:abstractNumId w:val="11"/>
  </w:num>
  <w:num w:numId="17">
    <w:abstractNumId w:val="4"/>
  </w:num>
  <w:num w:numId="18">
    <w:abstractNumId w:val="25"/>
  </w:num>
  <w:num w:numId="19">
    <w:abstractNumId w:val="30"/>
  </w:num>
  <w:num w:numId="20">
    <w:abstractNumId w:val="2"/>
  </w:num>
  <w:num w:numId="21">
    <w:abstractNumId w:val="18"/>
  </w:num>
  <w:num w:numId="22">
    <w:abstractNumId w:val="0"/>
  </w:num>
  <w:num w:numId="23">
    <w:abstractNumId w:val="8"/>
  </w:num>
  <w:num w:numId="24">
    <w:abstractNumId w:val="3"/>
  </w:num>
  <w:num w:numId="25">
    <w:abstractNumId w:val="29"/>
  </w:num>
  <w:num w:numId="26">
    <w:abstractNumId w:val="27"/>
  </w:num>
  <w:num w:numId="27">
    <w:abstractNumId w:val="21"/>
  </w:num>
  <w:num w:numId="28">
    <w:abstractNumId w:val="26"/>
  </w:num>
  <w:num w:numId="29">
    <w:abstractNumId w:val="10"/>
  </w:num>
  <w:num w:numId="30">
    <w:abstractNumId w:val="12"/>
  </w:num>
  <w:num w:numId="31">
    <w:abstractNumId w:val="1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C"/>
    <w:rsid w:val="00050DCD"/>
    <w:rsid w:val="000B661A"/>
    <w:rsid w:val="000B728A"/>
    <w:rsid w:val="000E262A"/>
    <w:rsid w:val="00142721"/>
    <w:rsid w:val="0017251F"/>
    <w:rsid w:val="00183D38"/>
    <w:rsid w:val="001B3A65"/>
    <w:rsid w:val="001E2A25"/>
    <w:rsid w:val="00313EC3"/>
    <w:rsid w:val="00334A5E"/>
    <w:rsid w:val="00357E0D"/>
    <w:rsid w:val="00366E93"/>
    <w:rsid w:val="00375BFD"/>
    <w:rsid w:val="005503A1"/>
    <w:rsid w:val="00566654"/>
    <w:rsid w:val="00574340"/>
    <w:rsid w:val="00593E6D"/>
    <w:rsid w:val="005971CE"/>
    <w:rsid w:val="005F4768"/>
    <w:rsid w:val="006057F9"/>
    <w:rsid w:val="006B6BD9"/>
    <w:rsid w:val="006F4C6F"/>
    <w:rsid w:val="00702AB3"/>
    <w:rsid w:val="00712638"/>
    <w:rsid w:val="00740323"/>
    <w:rsid w:val="0074301A"/>
    <w:rsid w:val="0074401C"/>
    <w:rsid w:val="00747FAB"/>
    <w:rsid w:val="007660B3"/>
    <w:rsid w:val="00822CD0"/>
    <w:rsid w:val="00841341"/>
    <w:rsid w:val="0086095D"/>
    <w:rsid w:val="00874E78"/>
    <w:rsid w:val="008C3148"/>
    <w:rsid w:val="008D685F"/>
    <w:rsid w:val="008F2D0C"/>
    <w:rsid w:val="00907808"/>
    <w:rsid w:val="00926648"/>
    <w:rsid w:val="009535B2"/>
    <w:rsid w:val="009C36C5"/>
    <w:rsid w:val="00A33194"/>
    <w:rsid w:val="00A35D7A"/>
    <w:rsid w:val="00A5758F"/>
    <w:rsid w:val="00AF60AD"/>
    <w:rsid w:val="00B838F5"/>
    <w:rsid w:val="00B84A28"/>
    <w:rsid w:val="00B85C54"/>
    <w:rsid w:val="00C21964"/>
    <w:rsid w:val="00C270C1"/>
    <w:rsid w:val="00C51C5F"/>
    <w:rsid w:val="00D071DD"/>
    <w:rsid w:val="00D75372"/>
    <w:rsid w:val="00E316D3"/>
    <w:rsid w:val="00E47384"/>
    <w:rsid w:val="00E73B65"/>
    <w:rsid w:val="00E91DB6"/>
    <w:rsid w:val="00EF0644"/>
    <w:rsid w:val="00F1223D"/>
    <w:rsid w:val="00F21D56"/>
    <w:rsid w:val="00F64727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C5308-49E9-4847-9216-91071BF6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  <w:style w:type="character" w:styleId="Hipercze">
    <w:name w:val="Hyperlink"/>
    <w:basedOn w:val="Domylnaczcionkaakapitu"/>
    <w:uiPriority w:val="99"/>
    <w:unhideWhenUsed/>
    <w:rsid w:val="00740323"/>
    <w:rPr>
      <w:color w:val="0563C1" w:themeColor="hyperlink"/>
      <w:u w:val="single"/>
    </w:rPr>
  </w:style>
  <w:style w:type="character" w:customStyle="1" w:styleId="elementor-icon-list-text">
    <w:name w:val="elementor-icon-list-text"/>
    <w:basedOn w:val="Domylnaczcionkaakapitu"/>
    <w:rsid w:val="00740323"/>
  </w:style>
  <w:style w:type="character" w:customStyle="1" w:styleId="skgd">
    <w:name w:val="skgd"/>
    <w:basedOn w:val="Domylnaczcionkaakapitu"/>
    <w:rsid w:val="00740323"/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0B728A"/>
  </w:style>
  <w:style w:type="paragraph" w:customStyle="1" w:styleId="Tekstpodstawowy32">
    <w:name w:val="Tekst podstawowy 32"/>
    <w:basedOn w:val="Normalny"/>
    <w:rsid w:val="00B84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93">
    <w:name w:val="Font Style93"/>
    <w:rsid w:val="00747FAB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Petrus</dc:creator>
  <cp:keywords/>
  <dc:description/>
  <cp:lastModifiedBy>Radosław Petrus</cp:lastModifiedBy>
  <cp:revision>4</cp:revision>
  <dcterms:created xsi:type="dcterms:W3CDTF">2022-04-06T13:57:00Z</dcterms:created>
  <dcterms:modified xsi:type="dcterms:W3CDTF">2022-04-06T14:05:00Z</dcterms:modified>
</cp:coreProperties>
</file>