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4CE09466"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50537D" w:rsidRPr="0050537D">
        <w:rPr>
          <w:rFonts w:cstheme="minorHAnsi"/>
        </w:rPr>
        <w:t>2022/BZP 00236963/0</w:t>
      </w:r>
      <w:bookmarkStart w:id="0" w:name="_GoBack"/>
      <w:bookmarkEnd w:id="0"/>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P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bCs/>
        </w:rPr>
      </w:pPr>
      <w:r w:rsidRPr="005E24ED">
        <w:rPr>
          <w:rFonts w:cstheme="minorHAnsi"/>
          <w:b/>
        </w:rPr>
        <w:t>Zamówienie dofinansowane ze środków Rządowego Funduszu Polski Ład: Program Inwestycji Strategicznych</w:t>
      </w: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lastRenderedPageBreak/>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lastRenderedPageBreak/>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1E1B" w14:textId="77777777" w:rsidR="00AF141A" w:rsidRDefault="00AF141A" w:rsidP="00BA7968">
      <w:pPr>
        <w:spacing w:after="0" w:line="240" w:lineRule="auto"/>
      </w:pPr>
      <w:r>
        <w:separator/>
      </w:r>
    </w:p>
  </w:endnote>
  <w:endnote w:type="continuationSeparator" w:id="0">
    <w:p w14:paraId="55EBE709" w14:textId="77777777" w:rsidR="00AF141A" w:rsidRDefault="00AF141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50537D">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50537D">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9875" w14:textId="77777777" w:rsidR="00AF141A" w:rsidRDefault="00AF141A" w:rsidP="00BA7968">
      <w:pPr>
        <w:spacing w:after="0" w:line="240" w:lineRule="auto"/>
      </w:pPr>
      <w:r>
        <w:separator/>
      </w:r>
    </w:p>
  </w:footnote>
  <w:footnote w:type="continuationSeparator" w:id="0">
    <w:p w14:paraId="04FAB46C" w14:textId="77777777" w:rsidR="00AF141A" w:rsidRDefault="00AF141A"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0537D"/>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141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82BB-F139-4207-A4CA-00BC079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2022-05-18T13:00:00Z</dcterms:created>
  <dcterms:modified xsi:type="dcterms:W3CDTF">2022-07-04T10:51:00Z</dcterms:modified>
</cp:coreProperties>
</file>