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277F1A9A" w:rsidR="00EA2CC1" w:rsidRPr="00060C25" w:rsidRDefault="005E6D04" w:rsidP="00F846FE">
      <w:pPr>
        <w:spacing w:line="276" w:lineRule="auto"/>
        <w:jc w:val="right"/>
        <w:rPr>
          <w:rFonts w:cstheme="minorHAnsi"/>
        </w:rPr>
      </w:pPr>
      <w:r w:rsidRPr="00060C25">
        <w:rPr>
          <w:rFonts w:cstheme="minorHAnsi"/>
        </w:rPr>
        <w:t xml:space="preserve">Kije, </w:t>
      </w:r>
      <w:r w:rsidR="0067733F">
        <w:rPr>
          <w:rFonts w:cstheme="minorHAnsi"/>
        </w:rPr>
        <w:t>18</w:t>
      </w:r>
      <w:r w:rsidR="0099028B">
        <w:rPr>
          <w:rFonts w:cstheme="minorHAnsi"/>
        </w:rPr>
        <w:t xml:space="preserve"> </w:t>
      </w:r>
      <w:r w:rsidR="007D6BEA">
        <w:rPr>
          <w:rFonts w:cstheme="minorHAnsi"/>
        </w:rPr>
        <w:t>lutego</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5BC64B2E" w:rsidR="00B96276" w:rsidRPr="00B96276" w:rsidRDefault="00B96276" w:rsidP="00B96276">
      <w:pPr>
        <w:spacing w:line="276" w:lineRule="auto"/>
        <w:jc w:val="center"/>
        <w:rPr>
          <w:rStyle w:val="FontStyle93"/>
          <w:rFonts w:asciiTheme="minorHAnsi" w:hAnsiTheme="minorHAnsi" w:cstheme="minorHAnsi"/>
          <w:b/>
          <w:bCs/>
          <w:sz w:val="32"/>
          <w:szCs w:val="22"/>
        </w:rPr>
      </w:pPr>
      <w:r w:rsidRPr="00B96276">
        <w:rPr>
          <w:rStyle w:val="FontStyle93"/>
          <w:rFonts w:asciiTheme="minorHAnsi" w:hAnsiTheme="minorHAnsi" w:cstheme="minorHAnsi"/>
          <w:b/>
          <w:bCs/>
          <w:sz w:val="32"/>
          <w:szCs w:val="22"/>
        </w:rPr>
        <w:t>„</w:t>
      </w:r>
      <w:r w:rsidR="007D6BEA">
        <w:rPr>
          <w:rStyle w:val="FontStyle93"/>
          <w:rFonts w:asciiTheme="minorHAnsi" w:hAnsiTheme="minorHAnsi" w:cstheme="minorHAnsi"/>
          <w:b/>
          <w:bCs/>
          <w:sz w:val="32"/>
          <w:szCs w:val="22"/>
        </w:rPr>
        <w:t>Zaprojektowanie i wykonanie przebudowy dróg gminnych w miejscowościach Gołuchów, Kliszów i Umianowice na terenie Gminy Kije</w:t>
      </w:r>
      <w:r w:rsidRPr="00B96276">
        <w:rPr>
          <w:rStyle w:val="FontStyle93"/>
          <w:rFonts w:asciiTheme="minorHAnsi" w:hAnsiTheme="minorHAnsi" w:cstheme="minorHAnsi"/>
          <w:b/>
          <w:bCs/>
          <w:sz w:val="32"/>
          <w:szCs w:val="22"/>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0B53CEA2"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657815" w:rsidRPr="00657815">
        <w:rPr>
          <w:rFonts w:cstheme="minorHAnsi"/>
          <w:b/>
        </w:rPr>
        <w:t>2022/BZP 00062331/0</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6CC42B9B" w14:textId="77777777" w:rsidR="00847C78" w:rsidRDefault="009A323E" w:rsidP="00847C78">
            <w:pPr>
              <w:spacing w:line="276" w:lineRule="auto"/>
              <w:jc w:val="center"/>
              <w:rPr>
                <w:rFonts w:cstheme="minorHAnsi"/>
              </w:rPr>
            </w:pPr>
            <w:r w:rsidRPr="00060C25">
              <w:rPr>
                <w:rFonts w:cstheme="minorHAnsi"/>
              </w:rPr>
              <w:t>REGON 291010085</w:t>
            </w:r>
          </w:p>
          <w:p w14:paraId="4CD45216" w14:textId="77777777" w:rsidR="00847C78" w:rsidRDefault="00847C78" w:rsidP="00847C78">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17A6C5F7" w14:textId="77777777" w:rsidR="00847C78" w:rsidRPr="00060C25" w:rsidRDefault="00847C78" w:rsidP="00847C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2294A891" w14:textId="77777777" w:rsidR="00847C78" w:rsidRPr="00060C25" w:rsidRDefault="00847C78" w:rsidP="00587F73">
            <w:pPr>
              <w:spacing w:line="276" w:lineRule="auto"/>
              <w:jc w:val="center"/>
              <w:rPr>
                <w:rFonts w:cstheme="minorHAnsi"/>
              </w:rPr>
            </w:pP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Kancelaria Prawna Dudała&amp;Partnerzy</w:t>
            </w:r>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1"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2"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3"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budowalne,</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3BACA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ziemne,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lastRenderedPageBreak/>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w:t>
      </w:r>
      <w:r w:rsidRPr="00060C25">
        <w:rPr>
          <w:rFonts w:cstheme="minorHAnsi"/>
        </w:rPr>
        <w:lastRenderedPageBreak/>
        <w:t xml:space="preserve">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985B17">
      <w:pPr>
        <w:pStyle w:val="Akapitzlist"/>
        <w:numPr>
          <w:ilvl w:val="0"/>
          <w:numId w:val="2"/>
        </w:numPr>
        <w:spacing w:after="120" w:line="276" w:lineRule="auto"/>
        <w:contextualSpacing w:val="0"/>
        <w:jc w:val="both"/>
        <w:rPr>
          <w:rFonts w:cstheme="minorHAnsi"/>
        </w:rPr>
      </w:pPr>
      <w:r w:rsidRPr="00985B17">
        <w:rPr>
          <w:rFonts w:cstheme="minorHAnsi"/>
        </w:rPr>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DC1CB1">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DC1CB1">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23580B2B" w:rsidR="0066175C" w:rsidRPr="0099028B" w:rsidRDefault="00C33D6E"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66175C">
        <w:rPr>
          <w:rFonts w:cstheme="minorHAnsi"/>
        </w:rPr>
        <w:t xml:space="preserve">Przedmiotem zamówienia jest </w:t>
      </w:r>
      <w:r w:rsidR="0066175C" w:rsidRPr="0066175C">
        <w:rPr>
          <w:rStyle w:val="FontStyle93"/>
          <w:rFonts w:asciiTheme="minorHAnsi" w:hAnsiTheme="minorHAnsi" w:cstheme="minorHAnsi"/>
          <w:bCs/>
          <w:sz w:val="22"/>
          <w:szCs w:val="22"/>
        </w:rPr>
        <w:t xml:space="preserve">„Zaprojektowanie i wykonanie przebudowy dróg gminnych w </w:t>
      </w:r>
      <w:r w:rsidR="0066175C" w:rsidRPr="0099028B">
        <w:rPr>
          <w:rStyle w:val="FontStyle93"/>
          <w:rFonts w:asciiTheme="minorHAnsi" w:hAnsiTheme="minorHAnsi" w:cstheme="minorHAnsi"/>
          <w:bCs/>
          <w:sz w:val="22"/>
          <w:szCs w:val="22"/>
        </w:rPr>
        <w:t>miejscowościach Gołuchów, Kliszów i Umianowice na terenie Gminy Kije”</w:t>
      </w:r>
      <w:r w:rsidR="002F28DE" w:rsidRPr="0099028B">
        <w:rPr>
          <w:rStyle w:val="FontStyle93"/>
          <w:rFonts w:asciiTheme="minorHAnsi" w:hAnsiTheme="minorHAnsi" w:cstheme="minorHAnsi"/>
          <w:bCs/>
          <w:sz w:val="22"/>
          <w:szCs w:val="22"/>
        </w:rPr>
        <w:t xml:space="preserve"> w formule „</w:t>
      </w:r>
      <w:r w:rsidR="002F28DE" w:rsidRPr="0099028B">
        <w:rPr>
          <w:rStyle w:val="FontStyle93"/>
          <w:rFonts w:asciiTheme="minorHAnsi" w:hAnsiTheme="minorHAnsi" w:cstheme="minorHAnsi"/>
          <w:b/>
          <w:bCs/>
          <w:sz w:val="22"/>
          <w:szCs w:val="22"/>
        </w:rPr>
        <w:t>zaprojektuj i wybuduj</w:t>
      </w:r>
      <w:r w:rsidR="002F28DE" w:rsidRPr="0099028B">
        <w:rPr>
          <w:rStyle w:val="FontStyle93"/>
          <w:rFonts w:asciiTheme="minorHAnsi" w:hAnsiTheme="minorHAnsi" w:cstheme="minorHAnsi"/>
          <w:bCs/>
          <w:sz w:val="22"/>
          <w:szCs w:val="22"/>
        </w:rPr>
        <w:t>”.</w:t>
      </w:r>
    </w:p>
    <w:p w14:paraId="5AE26EFA" w14:textId="4CCEF9F4" w:rsidR="00DC1CB1" w:rsidRPr="0099028B" w:rsidRDefault="00DC1CB1"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Przedmiot zamówienia obejmuje:</w:t>
      </w:r>
    </w:p>
    <w:p w14:paraId="377FD054" w14:textId="264C0573"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 xml:space="preserve">zaprojektowanie i wykonanie przebudowy </w:t>
      </w:r>
      <w:r w:rsidRPr="0099028B">
        <w:rPr>
          <w:rFonts w:cstheme="minorHAnsi"/>
        </w:rPr>
        <w:t>drogi gminnej nr 330009T w miejscowości Gołuchów na odcinku od skrzyżowania z drogą powiatową nr 0008T do przejazdu kolejowego na linii kolejowej nr 70 Włoszczowice - Chmielów, powiat pińczowski, woj. Świętokrzyskie</w:t>
      </w:r>
      <w:r w:rsidR="002F28DE" w:rsidRPr="0099028B">
        <w:rPr>
          <w:rFonts w:cstheme="minorHAnsi"/>
        </w:rPr>
        <w:t xml:space="preserve">, </w:t>
      </w:r>
    </w:p>
    <w:p w14:paraId="7647EF00" w14:textId="6C301FC5" w:rsidR="0066175C" w:rsidRPr="00D86D10" w:rsidRDefault="00DC1CB1" w:rsidP="00D86D10">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zaprojektowanie i wykonanie przebudowy drogi gminnej</w:t>
      </w:r>
      <w:r w:rsidR="0067733F">
        <w:rPr>
          <w:rStyle w:val="FontStyle93"/>
          <w:rFonts w:asciiTheme="minorHAnsi" w:hAnsiTheme="minorHAnsi" w:cstheme="minorHAnsi"/>
          <w:sz w:val="22"/>
          <w:szCs w:val="22"/>
        </w:rPr>
        <w:t xml:space="preserve"> nr</w:t>
      </w:r>
      <w:r w:rsidRPr="0099028B">
        <w:rPr>
          <w:rStyle w:val="FontStyle93"/>
          <w:rFonts w:asciiTheme="minorHAnsi" w:hAnsiTheme="minorHAnsi" w:cstheme="minorHAnsi"/>
          <w:sz w:val="22"/>
          <w:szCs w:val="22"/>
        </w:rPr>
        <w:t xml:space="preserve"> </w:t>
      </w:r>
      <w:r w:rsidRPr="0099028B">
        <w:rPr>
          <w:rFonts w:cstheme="minorHAnsi"/>
        </w:rPr>
        <w:t xml:space="preserve">330003T w miejscowości </w:t>
      </w:r>
      <w:r w:rsidRPr="00D86D10">
        <w:rPr>
          <w:rFonts w:cstheme="minorHAnsi"/>
        </w:rPr>
        <w:t>Kliszów na odcinku od skrzyżowania z droga powiatową nr 0157T do skrzyżowania z droga krajową nr 78, powiat pińczowski, woj. świętokrzyskie,</w:t>
      </w:r>
    </w:p>
    <w:p w14:paraId="68C5F681" w14:textId="0866D619"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zaprojektowanie i wykonanie przebudowy</w:t>
      </w:r>
      <w:r w:rsidRPr="0099028B">
        <w:t xml:space="preserve"> </w:t>
      </w:r>
      <w:r w:rsidR="0067733F">
        <w:rPr>
          <w:rStyle w:val="FontStyle93"/>
          <w:rFonts w:asciiTheme="minorHAnsi" w:hAnsiTheme="minorHAnsi" w:cstheme="minorHAnsi"/>
          <w:sz w:val="22"/>
          <w:szCs w:val="22"/>
        </w:rPr>
        <w:t>drogi nr 33</w:t>
      </w:r>
      <w:r w:rsidRPr="0099028B">
        <w:rPr>
          <w:rStyle w:val="FontStyle93"/>
          <w:rFonts w:asciiTheme="minorHAnsi" w:hAnsiTheme="minorHAnsi" w:cstheme="minorHAnsi"/>
          <w:sz w:val="22"/>
          <w:szCs w:val="22"/>
        </w:rPr>
        <w:t>0008T w miejscowości Umianowice na odcinku od skrzyżowania z drogą powiatową nr 0016T do przejazdu kolejowego, powiat pińczowski, woj. świętokrzyskie,</w:t>
      </w:r>
    </w:p>
    <w:p w14:paraId="12F06FAB" w14:textId="3222FF06" w:rsidR="00DC1CB1" w:rsidRPr="0099028B" w:rsidRDefault="00DC1CB1" w:rsidP="00DC1CB1">
      <w:pPr>
        <w:autoSpaceDE w:val="0"/>
        <w:autoSpaceDN w:val="0"/>
        <w:adjustRightInd w:val="0"/>
        <w:spacing w:after="120" w:line="276" w:lineRule="auto"/>
        <w:ind w:left="717"/>
        <w:jc w:val="both"/>
        <w:rPr>
          <w:rFonts w:cstheme="minorHAnsi"/>
        </w:rPr>
      </w:pPr>
      <w:r w:rsidRPr="0099028B">
        <w:rPr>
          <w:rFonts w:cstheme="minorHAnsi"/>
        </w:rPr>
        <w:t>wraz z:</w:t>
      </w:r>
    </w:p>
    <w:p w14:paraId="2D41F7C3" w14:textId="6E6EE6CE"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uzyskaniem w imieniu i na rzecz Zamawiającego wszystkich niezbędnych decyzji i uzgodnień w tym zgłoszenie zamiaru wykonania robót budowlanych,</w:t>
      </w:r>
    </w:p>
    <w:p w14:paraId="5A6F25D5" w14:textId="29A0257C"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realizacją robót,</w:t>
      </w:r>
    </w:p>
    <w:p w14:paraId="5BD93116" w14:textId="330D2E6D"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zgłoszeniem zakończenia robót i uzyskaniem jego przyjęcia przez Zamawiającego.</w:t>
      </w:r>
    </w:p>
    <w:p w14:paraId="7279691A" w14:textId="77777777" w:rsidR="004C387C" w:rsidRPr="0099028B" w:rsidRDefault="004C387C" w:rsidP="004C387C">
      <w:pPr>
        <w:pStyle w:val="Akapitzlist"/>
        <w:numPr>
          <w:ilvl w:val="0"/>
          <w:numId w:val="9"/>
        </w:numPr>
        <w:spacing w:after="120" w:line="276" w:lineRule="auto"/>
        <w:contextualSpacing w:val="0"/>
        <w:jc w:val="both"/>
        <w:rPr>
          <w:rFonts w:cstheme="minorHAnsi"/>
        </w:rPr>
      </w:pPr>
      <w:r w:rsidRPr="0099028B">
        <w:rPr>
          <w:rFonts w:cstheme="minorHAnsi"/>
        </w:rPr>
        <w:t>Zakres zamówienia obejmuje w szczególności:</w:t>
      </w:r>
    </w:p>
    <w:p w14:paraId="12DD8564" w14:textId="6E92FB45"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 xml:space="preserve">Opracowanie dokumentacji projektowych w ramach Programu Funkcjonalno-Użytkowego (PFU) wraz z uzyskaniem zezwolenia na rozpoczęcie wykonania robót budowlanych (Zgłoszenie zamiaru rozpoczęcia robót budowlanych, pozwolenia na budowę lub decyzji </w:t>
      </w:r>
      <w:r w:rsidRPr="0099028B">
        <w:rPr>
          <w:rFonts w:cstheme="minorHAnsi"/>
        </w:rPr>
        <w:lastRenderedPageBreak/>
        <w:t>ZRID) oraz wszystkich innych decyzji administracyjnych, uzgodnień i opinii niezbędnych dla zrealizowania zadania inwestycyjnego w tym wykonanie i zatwierdzenie aktualizacji projektu stałej organizacji ruchu oraz wykonanie i zatwierdzenie projektu tymczasowej organizacji ruchu wraz z oznakowanie</w:t>
      </w:r>
      <w:r w:rsidR="00A13749">
        <w:rPr>
          <w:rFonts w:cstheme="minorHAnsi"/>
        </w:rPr>
        <w:t>m</w:t>
      </w:r>
      <w:r w:rsidRPr="0099028B">
        <w:rPr>
          <w:rFonts w:cstheme="minorHAnsi"/>
        </w:rPr>
        <w:t xml:space="preserve"> robót, a także uzyskanie</w:t>
      </w:r>
      <w:r w:rsidR="00A13749">
        <w:rPr>
          <w:rFonts w:cstheme="minorHAnsi"/>
        </w:rPr>
        <w:t>m</w:t>
      </w:r>
      <w:r w:rsidRPr="0099028B">
        <w:rPr>
          <w:rFonts w:cstheme="minorHAnsi"/>
        </w:rPr>
        <w:t xml:space="preserve"> decyzji środowiskowej oraz </w:t>
      </w:r>
      <w:r w:rsidR="00842A38" w:rsidRPr="0099028B">
        <w:rPr>
          <w:rFonts w:cstheme="minorHAnsi"/>
        </w:rPr>
        <w:t>pozwolenia wodno – prawnego;</w:t>
      </w:r>
    </w:p>
    <w:p w14:paraId="6A76A14E" w14:textId="5DCFA8D4"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Wykonanie robót budowlanych wraz z niezbędną infrastrukturą towarzyszącą w oparciu o dokumentację projektową wykonaną przez Wykonawcę robót wraz ze świadczeniami nie będącymi robotami budowlanymi oraz w razie konieczności zabezpieczenie i przeniesienie zabytków małej architektury. Szczegółowy zakres robót jest przedst</w:t>
      </w:r>
      <w:r w:rsidR="00842A38" w:rsidRPr="0099028B">
        <w:rPr>
          <w:rFonts w:cstheme="minorHAnsi"/>
        </w:rPr>
        <w:t>awiony w dalszej części PFU;</w:t>
      </w:r>
    </w:p>
    <w:p w14:paraId="6DF77708" w14:textId="77777777"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Sprawowanie nadzoru autorskiego nad opr</w:t>
      </w:r>
      <w:r w:rsidR="00842A38" w:rsidRPr="0099028B">
        <w:rPr>
          <w:rFonts w:cstheme="minorHAnsi"/>
        </w:rPr>
        <w:t>acowaną dokumentacją projektową;</w:t>
      </w:r>
    </w:p>
    <w:p w14:paraId="5A6A10EB" w14:textId="10D0E68F"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Zgłoszenie zakończenia robót i uzyskanie jego przyjęcia przez Zamawiającego.</w:t>
      </w:r>
    </w:p>
    <w:p w14:paraId="7F024F8D" w14:textId="10C5888E" w:rsidR="00E373C8" w:rsidRPr="0099028B" w:rsidRDefault="00E373C8" w:rsidP="00842A38">
      <w:pPr>
        <w:pStyle w:val="Akapitzlist"/>
        <w:numPr>
          <w:ilvl w:val="0"/>
          <w:numId w:val="9"/>
        </w:numPr>
        <w:spacing w:after="120" w:line="276" w:lineRule="auto"/>
        <w:contextualSpacing w:val="0"/>
        <w:jc w:val="both"/>
        <w:rPr>
          <w:rFonts w:cstheme="minorHAnsi"/>
        </w:rPr>
      </w:pPr>
      <w:r w:rsidRPr="0099028B">
        <w:rPr>
          <w:rFonts w:cstheme="minorHAnsi"/>
        </w:rPr>
        <w:t>Do obowiązków Wykonawcy należy w szczególności:</w:t>
      </w:r>
    </w:p>
    <w:p w14:paraId="49F3FD91"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prowadzenie robót w sposób niestanowiący zagrożenia bezpieczeństwa ruchu drogowego,</w:t>
      </w:r>
    </w:p>
    <w:p w14:paraId="756DCEB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oznakowanie wjazdów i wyjazdów z budowy oraz zapewnienie nie zanieczyszczania dróg publicznych materiałami na kołach pojazdów wyjeżdżających z budowy, </w:t>
      </w:r>
    </w:p>
    <w:p w14:paraId="7CFE2410"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zabezpieczenie placu budowy, w tym w miejscach przylegających do dróg otwartych dla ruchu ogrodzenie lub wyraźne oznakowanie robót, </w:t>
      </w:r>
    </w:p>
    <w:p w14:paraId="64DF8D4B"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oznaczenie na placu budowy w widoczny sposób miejsc niebezpiecznych, </w:t>
      </w:r>
    </w:p>
    <w:p w14:paraId="61B9AC4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ochrona terenu budowy, materiałów i urządzeń używanych do robót, </w:t>
      </w:r>
    </w:p>
    <w:p w14:paraId="099E61A9"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dostarczenie, zainstalowanie i obsługa wszystkich tymczasowych urządzeń zabezpieczających takie jak: zapory, światła ostrzegawcze, sygnały, itp., oznakowania związanego z czasową organizacją ruchu oraz tablic informujących o zmianie organizacji ruchu, </w:t>
      </w:r>
    </w:p>
    <w:p w14:paraId="78788412" w14:textId="1C154A2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organizacja zaplecza budowy oraz budowa dróg technologicznych,</w:t>
      </w:r>
    </w:p>
    <w:p w14:paraId="6120F44A"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utrzymanie przejezdności dróg publicznych oraz zapewnienie dostępu nieruchomości w okresie od dnia przejęcia placu budowy do dnia przekazania odcinka drogi w utrzymanie,</w:t>
      </w:r>
    </w:p>
    <w:p w14:paraId="476D5486"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instalacja tablic informacyjnych budowy,</w:t>
      </w:r>
    </w:p>
    <w:p w14:paraId="1883C57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ochrony przeciwpożarowej, w tym utrzymywania sprawnego sprzętu ochrony przeciwpożarowej,</w:t>
      </w:r>
    </w:p>
    <w:p w14:paraId="44515773" w14:textId="0767E224"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używanie materiałów, które nie są szkodliwe dla otoczenia, a jeśli materiały są szkodliwe dla otoczenia tylko w czasie robót, używanie ich jest dozwolone wyłącznie pod warunkiem przestrzegania wymagań technologicznych wbudowania,</w:t>
      </w:r>
    </w:p>
    <w:p w14:paraId="338F7E7E" w14:textId="24DE45DA"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w:t>
      </w:r>
    </w:p>
    <w:p w14:paraId="420451DD" w14:textId="441573A8"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lastRenderedPageBreak/>
        <w:t>zabezpieczenie drzew oraz obiektów budowlanych przed uszkodzeniem na czas realizacji inwestycji,</w:t>
      </w:r>
    </w:p>
    <w:p w14:paraId="431E38C8"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ochrona znajdujących się w rejonie robót instalacji napowietrznych, naziemnych i podziemnych,</w:t>
      </w:r>
    </w:p>
    <w:p w14:paraId="33D1BEFF" w14:textId="7975180F"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minimalizacja niedogodności dla okolicznych mieszkańców,</w:t>
      </w:r>
    </w:p>
    <w:p w14:paraId="3FCA3F3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470952B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dotyczących bezpieczeństwa i higieny pracy oraz działanie zgodnie z Planem BIOZ,</w:t>
      </w:r>
    </w:p>
    <w:p w14:paraId="6EF64002" w14:textId="10FFE503"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sprawdzenie przed rozpoczęciem badań i robót tereny budowy pod względem obecności ewentualnych niewypałów/niewybuchów a w razie potrzeby zabezpieczenia nadzoru saperskiego,</w:t>
      </w:r>
    </w:p>
    <w:p w14:paraId="041015C3" w14:textId="6FAAD501"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znajomość i stosowanie aktualnych przepisów (w tym także wchodzących w życie ich zmian),wydanych przez władze centralne i miejscowe oraz innych przepisów, regulaminów, wytycznych(w zakresie, w jakim są dla Wykonawcy wiążące), które są w jakikolwiek sposób związane z robotami,</w:t>
      </w:r>
    </w:p>
    <w:p w14:paraId="282C62BC" w14:textId="1C28FBA0"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praw patentowych i wypełnianie wszelkich wymagań prawnych odnośnie znaków firmowych, nazw lub innych chronionych praw w odniesieniu do sprzętu, materiałów lub urządzeń użytych lub związanych z wykonywaniem robót,</w:t>
      </w:r>
    </w:p>
    <w:p w14:paraId="4814640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odwodnienie terenu budowy, w tym wszelkich wykopów pod obiekty budowlane, </w:t>
      </w:r>
    </w:p>
    <w:p w14:paraId="05E624C3"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oznakowanie robót musi być zgodne z zatwierdzonym projektem czasowej organizacji ruchu i uwzględniać objazdy innymi drogami, w tym oznakowanie poziome czasowe nawierzchni bitumicznych. Utrzymanie i zmiany oznakowania w czasie trwania robót należy do Wykonawcy robót,</w:t>
      </w:r>
    </w:p>
    <w:p w14:paraId="74B25025"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zabezpieczenie wszelkich obiektów zabytkowych w rejonie prowadzonej inwestycji,</w:t>
      </w:r>
    </w:p>
    <w:p w14:paraId="318BC782" w14:textId="3440325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sporządzenie geodezyjnej inwentaryzacji powykonawczej.</w:t>
      </w:r>
    </w:p>
    <w:p w14:paraId="2867BBE1" w14:textId="5F7FBCD5" w:rsidR="0066175C" w:rsidRPr="0099028B" w:rsidRDefault="002F28DE" w:rsidP="00842A38">
      <w:pPr>
        <w:pStyle w:val="Akapitzlist"/>
        <w:numPr>
          <w:ilvl w:val="0"/>
          <w:numId w:val="9"/>
        </w:numPr>
        <w:spacing w:after="120" w:line="276" w:lineRule="auto"/>
        <w:contextualSpacing w:val="0"/>
        <w:jc w:val="both"/>
        <w:rPr>
          <w:rFonts w:cstheme="minorHAnsi"/>
        </w:rPr>
      </w:pPr>
      <w:r w:rsidRPr="0099028B">
        <w:rPr>
          <w:rFonts w:cstheme="minorHAnsi"/>
          <w:b/>
        </w:rPr>
        <w:t xml:space="preserve">Szczegółowy opis przedmiotu zamówienia zawiera Program Funkcjonalno-Użytkowy, który stanowi załącznik nr </w:t>
      </w:r>
      <w:r w:rsidR="00CB1EEE">
        <w:rPr>
          <w:rFonts w:cstheme="minorHAnsi"/>
          <w:b/>
        </w:rPr>
        <w:t>10</w:t>
      </w:r>
      <w:r w:rsidRPr="0099028B">
        <w:rPr>
          <w:rFonts w:cstheme="minorHAnsi"/>
          <w:b/>
        </w:rPr>
        <w:t xml:space="preserve"> do SWZ</w:t>
      </w:r>
      <w:r w:rsidRPr="0099028B">
        <w:rPr>
          <w:rFonts w:cstheme="minorHAnsi"/>
        </w:rPr>
        <w:t>.</w:t>
      </w:r>
    </w:p>
    <w:p w14:paraId="7F0BA188" w14:textId="77777777" w:rsidR="00D20768" w:rsidRPr="00936677" w:rsidRDefault="00D20768" w:rsidP="00842A38">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09B126CD" w14:textId="2A45E0F8" w:rsidR="00B47E3A" w:rsidRPr="00556194" w:rsidRDefault="00556194" w:rsidP="00556194">
      <w:pPr>
        <w:pStyle w:val="Akapitzlist"/>
        <w:numPr>
          <w:ilvl w:val="0"/>
          <w:numId w:val="11"/>
        </w:numPr>
        <w:spacing w:after="120" w:line="276" w:lineRule="auto"/>
        <w:contextualSpacing w:val="0"/>
        <w:jc w:val="both"/>
        <w:rPr>
          <w:rFonts w:cstheme="minorHAnsi"/>
        </w:rPr>
      </w:pPr>
      <w:r w:rsidRPr="00060C25">
        <w:rPr>
          <w:rFonts w:cstheme="minorHAnsi"/>
        </w:rPr>
        <w:t>45000000-7 – Roboty budowlane,</w:t>
      </w:r>
    </w:p>
    <w:p w14:paraId="55D454F2" w14:textId="56D4939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45100000-8 – </w:t>
      </w:r>
      <w:r w:rsidRPr="00556194">
        <w:rPr>
          <w:rFonts w:cstheme="minorHAnsi"/>
        </w:rPr>
        <w:t>Przygotowanie terenu pod budowę</w:t>
      </w:r>
      <w:r>
        <w:rPr>
          <w:rFonts w:cstheme="minorHAnsi"/>
        </w:rPr>
        <w:t>,</w:t>
      </w:r>
    </w:p>
    <w:p w14:paraId="4DCBB35C" w14:textId="41927FDD"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45110000-1 – </w:t>
      </w:r>
      <w:r w:rsidRPr="00556194">
        <w:rPr>
          <w:rFonts w:cstheme="minorHAnsi"/>
        </w:rPr>
        <w:t>Roboty w zakresie burzenia i rozbiórki obiektów budowlanych; roboty ziemne</w:t>
      </w:r>
      <w:r>
        <w:rPr>
          <w:rFonts w:cstheme="minorHAnsi"/>
        </w:rPr>
        <w:t>;</w:t>
      </w:r>
    </w:p>
    <w:p w14:paraId="676FA825" w14:textId="53A13D70"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45112710-5 – </w:t>
      </w:r>
      <w:r w:rsidRPr="00556194">
        <w:rPr>
          <w:rFonts w:cstheme="minorHAnsi"/>
        </w:rPr>
        <w:t>Roboty w zakresie kształtowania terenów zielonych</w:t>
      </w:r>
      <w:r>
        <w:rPr>
          <w:rFonts w:cstheme="minorHAnsi"/>
        </w:rPr>
        <w:t>;</w:t>
      </w:r>
    </w:p>
    <w:p w14:paraId="13EBAEE5" w14:textId="0E28BA6B" w:rsidR="00556194" w:rsidRDefault="00556194" w:rsidP="00556194">
      <w:pPr>
        <w:pStyle w:val="Akapitzlist"/>
        <w:numPr>
          <w:ilvl w:val="0"/>
          <w:numId w:val="11"/>
        </w:numPr>
        <w:spacing w:after="120" w:line="276" w:lineRule="auto"/>
        <w:contextualSpacing w:val="0"/>
        <w:jc w:val="both"/>
        <w:rPr>
          <w:rFonts w:cstheme="minorHAnsi"/>
        </w:rPr>
      </w:pPr>
      <w:r w:rsidRPr="00556194">
        <w:rPr>
          <w:rFonts w:cstheme="minorHAnsi"/>
        </w:rPr>
        <w:t xml:space="preserve">45221200-4 </w:t>
      </w:r>
      <w:r>
        <w:rPr>
          <w:rFonts w:cstheme="minorHAnsi"/>
        </w:rPr>
        <w:t xml:space="preserve">– </w:t>
      </w:r>
      <w:r w:rsidRPr="00556194">
        <w:rPr>
          <w:rFonts w:cstheme="minorHAnsi"/>
        </w:rPr>
        <w:t>Roboty budowlane w zakresie budowy tuneli, szybów i kolei podziemnej</w:t>
      </w:r>
      <w:r>
        <w:rPr>
          <w:rFonts w:cstheme="minorHAnsi"/>
        </w:rPr>
        <w:t>;</w:t>
      </w:r>
    </w:p>
    <w:p w14:paraId="1AACBC65" w14:textId="550A4FA7"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45220000-5 – </w:t>
      </w:r>
      <w:r w:rsidRPr="00556194">
        <w:rPr>
          <w:rFonts w:cstheme="minorHAnsi"/>
        </w:rPr>
        <w:t>Roboty inżynieryjne i budowlane</w:t>
      </w:r>
      <w:r>
        <w:rPr>
          <w:rFonts w:cstheme="minorHAnsi"/>
        </w:rPr>
        <w:t>;</w:t>
      </w:r>
    </w:p>
    <w:p w14:paraId="078D5BE0" w14:textId="30571FFC"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lastRenderedPageBreak/>
        <w:t xml:space="preserve">45230000-8 – </w:t>
      </w:r>
      <w:r w:rsidRPr="00556194">
        <w:rPr>
          <w:rFonts w:cstheme="minorHAnsi"/>
        </w:rPr>
        <w:t>Roboty budowlane w zakresie budowy rurociągów, linii komunikacyjnych i elektroenergetycznych, autostrad, dróg, lotnisk i kolei; wyrównywanie terenu</w:t>
      </w:r>
      <w:r>
        <w:rPr>
          <w:rFonts w:cstheme="minorHAnsi"/>
        </w:rPr>
        <w:t>;</w:t>
      </w:r>
    </w:p>
    <w:p w14:paraId="1A905D03" w14:textId="2300D0E3"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45233000-9 – </w:t>
      </w:r>
      <w:r w:rsidRPr="00556194">
        <w:rPr>
          <w:rFonts w:cstheme="minorHAnsi"/>
        </w:rPr>
        <w:t>Roboty w zakresie konstruowania, fundamentowania oraz wykonywania nawierzchni autostrad, dróg</w:t>
      </w:r>
      <w:r>
        <w:rPr>
          <w:rFonts w:cstheme="minorHAnsi"/>
        </w:rPr>
        <w:t>;</w:t>
      </w:r>
    </w:p>
    <w:p w14:paraId="2F3518AF" w14:textId="68073326"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45233120-6 – </w:t>
      </w:r>
      <w:r w:rsidRPr="00556194">
        <w:rPr>
          <w:rFonts w:cstheme="minorHAnsi"/>
        </w:rPr>
        <w:t>Roboty w zakresie budowy dróg</w:t>
      </w:r>
      <w:r>
        <w:rPr>
          <w:rFonts w:cstheme="minorHAnsi"/>
        </w:rPr>
        <w:t>;</w:t>
      </w:r>
    </w:p>
    <w:p w14:paraId="6F6DF2C4" w14:textId="195750F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71322000-1 – </w:t>
      </w:r>
      <w:r w:rsidRPr="00556194">
        <w:rPr>
          <w:rFonts w:cstheme="minorHAnsi"/>
        </w:rPr>
        <w:t>Usługi inżynierii projektowej w zakresie inżynierii lądowej i wodnej</w:t>
      </w:r>
      <w:r>
        <w:rPr>
          <w:rFonts w:cstheme="minorHAnsi"/>
        </w:rPr>
        <w:t>;</w:t>
      </w:r>
    </w:p>
    <w:p w14:paraId="5AC02BA5" w14:textId="1E833AE8" w:rsidR="00556194" w:rsidRDefault="002D345E" w:rsidP="002D345E">
      <w:pPr>
        <w:pStyle w:val="Akapitzlist"/>
        <w:numPr>
          <w:ilvl w:val="0"/>
          <w:numId w:val="11"/>
        </w:numPr>
        <w:spacing w:after="120" w:line="276" w:lineRule="auto"/>
        <w:contextualSpacing w:val="0"/>
        <w:jc w:val="both"/>
        <w:rPr>
          <w:rFonts w:cstheme="minorHAnsi"/>
        </w:rPr>
      </w:pPr>
      <w:r w:rsidRPr="002D345E">
        <w:rPr>
          <w:rFonts w:cstheme="minorHAnsi"/>
        </w:rPr>
        <w:t>713</w:t>
      </w:r>
      <w:r>
        <w:rPr>
          <w:rFonts w:cstheme="minorHAnsi"/>
        </w:rPr>
        <w:t xml:space="preserve">22500-6 – </w:t>
      </w:r>
      <w:r w:rsidRPr="002D345E">
        <w:rPr>
          <w:rFonts w:cstheme="minorHAnsi"/>
        </w:rPr>
        <w:t>Usługi inżynierii projektowej w zakresie sygnalizacji ruchu drogowego</w:t>
      </w:r>
      <w:r>
        <w:rPr>
          <w:rFonts w:cstheme="minorHAnsi"/>
        </w:rPr>
        <w:t>;</w:t>
      </w:r>
    </w:p>
    <w:p w14:paraId="6FC43EB6" w14:textId="03C663DF" w:rsidR="00556194" w:rsidRDefault="002D345E" w:rsidP="002D345E">
      <w:pPr>
        <w:pStyle w:val="Akapitzlist"/>
        <w:numPr>
          <w:ilvl w:val="0"/>
          <w:numId w:val="11"/>
        </w:numPr>
        <w:spacing w:after="120" w:line="276" w:lineRule="auto"/>
        <w:contextualSpacing w:val="0"/>
        <w:jc w:val="both"/>
        <w:rPr>
          <w:rFonts w:cstheme="minorHAnsi"/>
        </w:rPr>
      </w:pPr>
      <w:r>
        <w:rPr>
          <w:rFonts w:cstheme="minorHAnsi"/>
        </w:rPr>
        <w:t xml:space="preserve">45200000-9 – </w:t>
      </w:r>
      <w:r w:rsidRPr="002D345E">
        <w:rPr>
          <w:rFonts w:cstheme="minorHAnsi"/>
        </w:rPr>
        <w:t>Roboty budowlane w zakresie wznoszenia kompletnych obiektów budowlanych lub ich części oraz roboty w zakresie inżynierii lądowej i wodnej</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15C0D17" w:rsidR="00824C96" w:rsidRPr="00824C96" w:rsidRDefault="002D345E" w:rsidP="00FD563A">
      <w:pPr>
        <w:pStyle w:val="Akapitzlist"/>
        <w:numPr>
          <w:ilvl w:val="0"/>
          <w:numId w:val="65"/>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do </w:t>
      </w:r>
      <w:r w:rsidR="00CB1EEE">
        <w:rPr>
          <w:rFonts w:cstheme="minorHAnsi"/>
          <w:b/>
        </w:rPr>
        <w:t>30.11</w:t>
      </w:r>
      <w:r w:rsidRPr="002D345E">
        <w:rPr>
          <w:rFonts w:cstheme="minorHAnsi"/>
          <w:b/>
        </w:rPr>
        <w:t>.2022 r.</w:t>
      </w:r>
    </w:p>
    <w:p w14:paraId="14FFBC2D" w14:textId="395AF8E3" w:rsidR="00824C96" w:rsidRPr="00A13749" w:rsidRDefault="00824C96" w:rsidP="00A13749">
      <w:pPr>
        <w:pStyle w:val="Akapitzlist"/>
        <w:numPr>
          <w:ilvl w:val="0"/>
          <w:numId w:val="65"/>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D15D40C"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99028B">
        <w:rPr>
          <w:rFonts w:cstheme="minorHAnsi"/>
          <w:b/>
        </w:rPr>
        <w:t>48</w:t>
      </w:r>
      <w:r w:rsidRPr="00AD07DA">
        <w:rPr>
          <w:rFonts w:cstheme="minorHAnsi"/>
          <w:b/>
        </w:rPr>
        <w:t xml:space="preserve"> miesięcy</w:t>
      </w:r>
      <w:r w:rsidRPr="00824C96">
        <w:rPr>
          <w:rFonts w:cstheme="minorHAnsi"/>
        </w:rPr>
        <w:t>.</w:t>
      </w:r>
    </w:p>
    <w:p w14:paraId="2B1E7585" w14:textId="203E63D3"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na wykonane roboty budowlane gwarancji jakości przez okres wynoszący </w:t>
      </w:r>
      <w:r w:rsidRPr="00824C96">
        <w:rPr>
          <w:rFonts w:cstheme="minorHAnsi"/>
          <w:b/>
        </w:rPr>
        <w:t>minimum</w:t>
      </w:r>
      <w:r w:rsidRPr="00824C96">
        <w:rPr>
          <w:rFonts w:cstheme="minorHAnsi"/>
        </w:rPr>
        <w:t xml:space="preserve"> </w:t>
      </w:r>
      <w:r w:rsidR="0099028B">
        <w:rPr>
          <w:rFonts w:cstheme="minorHAnsi"/>
          <w:b/>
        </w:rPr>
        <w:t>48</w:t>
      </w:r>
      <w:r w:rsidRPr="00824C96">
        <w:rPr>
          <w:rFonts w:cstheme="minorHAnsi"/>
          <w:b/>
        </w:rPr>
        <w:t xml:space="preserve"> miesięcy</w:t>
      </w:r>
      <w:r w:rsidRPr="00824C96">
        <w:rPr>
          <w:rFonts w:cstheme="minorHAnsi"/>
        </w:rPr>
        <w:t>.</w:t>
      </w:r>
    </w:p>
    <w:p w14:paraId="7EDEB96A" w14:textId="4E3048B7" w:rsidR="00824C96" w:rsidRP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Okres rękojmi i gwarancji jakości na wykonane roboty budowlane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2AE6A9FA" w:rsidR="007C325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lastRenderedPageBreak/>
        <w:t xml:space="preserve">posiadali </w:t>
      </w:r>
      <w:r w:rsidRPr="00060C25">
        <w:rPr>
          <w:rFonts w:cstheme="minorHAnsi"/>
          <w:b/>
          <w:szCs w:val="20"/>
        </w:rPr>
        <w:t>ubezpieczenie od odpowiedzialności cywilnej</w:t>
      </w:r>
      <w:r>
        <w:rPr>
          <w:rFonts w:cstheme="minorHAnsi"/>
          <w:szCs w:val="20"/>
        </w:rPr>
        <w:t xml:space="preserve"> (OC) w zakresie prowadzonej działalności gospodarczej na sumę gwarancyjną wynoszącą minimum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 xml:space="preserve"> </w:t>
      </w:r>
      <w:r w:rsidRPr="00060C25">
        <w:rPr>
          <w:rFonts w:cstheme="minorHAnsi"/>
          <w:b/>
          <w:szCs w:val="20"/>
          <w:u w:val="single"/>
        </w:rPr>
        <w:t>oraz</w:t>
      </w:r>
    </w:p>
    <w:p w14:paraId="47B32A74" w14:textId="040D7301" w:rsidR="007C3259" w:rsidRPr="007C3259" w:rsidRDefault="007C3259" w:rsidP="007C3259">
      <w:pPr>
        <w:pStyle w:val="Akapitzlist"/>
        <w:numPr>
          <w:ilvl w:val="3"/>
          <w:numId w:val="13"/>
        </w:numPr>
        <w:spacing w:after="120" w:line="276" w:lineRule="auto"/>
        <w:ind w:left="1701"/>
        <w:contextualSpacing w:val="0"/>
        <w:jc w:val="both"/>
        <w:rPr>
          <w:rFonts w:cstheme="minorHAnsi"/>
          <w:szCs w:val="20"/>
        </w:rPr>
      </w:pPr>
      <w:r w:rsidRPr="00B40075">
        <w:rPr>
          <w:rFonts w:cstheme="minorHAnsi"/>
          <w:szCs w:val="20"/>
        </w:rPr>
        <w:t>posiadali</w:t>
      </w:r>
      <w:r w:rsidRPr="00060C25">
        <w:rPr>
          <w:rFonts w:cstheme="minorHAnsi"/>
          <w:b/>
          <w:szCs w:val="20"/>
        </w:rPr>
        <w:t xml:space="preserve"> </w:t>
      </w:r>
      <w:r>
        <w:rPr>
          <w:rFonts w:cstheme="minorHAnsi"/>
          <w:b/>
          <w:szCs w:val="20"/>
        </w:rPr>
        <w:t>środki finansowe</w:t>
      </w:r>
      <w:r>
        <w:rPr>
          <w:rFonts w:cstheme="minorHAnsi"/>
          <w:szCs w:val="20"/>
        </w:rPr>
        <w:t xml:space="preserve"> w wysokości min. </w:t>
      </w:r>
      <w:r w:rsidR="0099028B" w:rsidRPr="0099028B">
        <w:rPr>
          <w:rFonts w:cstheme="minorHAnsi"/>
          <w:b/>
          <w:szCs w:val="20"/>
        </w:rPr>
        <w:t>1.000.000</w:t>
      </w:r>
      <w:r w:rsidRPr="0099028B">
        <w:rPr>
          <w:rFonts w:cstheme="minorHAnsi"/>
          <w:b/>
          <w:szCs w:val="20"/>
        </w:rPr>
        <w:t xml:space="preserve"> zł</w:t>
      </w:r>
      <w:r>
        <w:rPr>
          <w:rFonts w:cstheme="minorHAnsi"/>
          <w:szCs w:val="20"/>
        </w:rPr>
        <w:t xml:space="preserve"> lub posiadali </w:t>
      </w:r>
      <w:r w:rsidRPr="00060C25">
        <w:rPr>
          <w:rFonts w:cstheme="minorHAnsi"/>
          <w:b/>
          <w:szCs w:val="20"/>
        </w:rPr>
        <w:t>zdolność kredytową</w:t>
      </w:r>
      <w:r>
        <w:rPr>
          <w:rFonts w:cstheme="minorHAnsi"/>
          <w:szCs w:val="20"/>
        </w:rPr>
        <w:t xml:space="preserve"> na kwotę min.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w:t>
      </w:r>
    </w:p>
    <w:p w14:paraId="42D2F51E" w14:textId="576CC83C" w:rsidR="00060C25" w:rsidRPr="00B4007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29210694" w14:textId="0581CF7A" w:rsidR="00E87B43" w:rsidRDefault="00E87B43" w:rsidP="00FD563A">
      <w:pPr>
        <w:pStyle w:val="Akapitzlist"/>
        <w:numPr>
          <w:ilvl w:val="3"/>
          <w:numId w:val="63"/>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co najmniej dwie roboty budowalne</w:t>
      </w:r>
      <w:r>
        <w:rPr>
          <w:rFonts w:cstheme="minorHAnsi"/>
        </w:rPr>
        <w:t>, związane z budową lub przebudową lub rozbudową drogi;</w:t>
      </w:r>
    </w:p>
    <w:p w14:paraId="1CB670EA" w14:textId="52DB435C"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min. 1.000.000 zł brutto</w:t>
      </w:r>
      <w:r>
        <w:rPr>
          <w:rFonts w:cstheme="minorHAnsi"/>
        </w:rPr>
        <w:t>;</w:t>
      </w:r>
    </w:p>
    <w:p w14:paraId="7D66A8A8" w14:textId="77777777" w:rsidR="00E87B43" w:rsidRDefault="00E87B43" w:rsidP="00FD563A">
      <w:pPr>
        <w:pStyle w:val="Akapitzlist"/>
        <w:numPr>
          <w:ilvl w:val="3"/>
          <w:numId w:val="63"/>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5C8D2235" w14:textId="05F7BADB" w:rsid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(a) </w:t>
      </w:r>
      <w:r w:rsidRPr="00E87B43">
        <w:rPr>
          <w:rFonts w:cstheme="minorHAnsi"/>
          <w:u w:val="single"/>
        </w:rPr>
        <w:t>uprawnienia budowlane</w:t>
      </w:r>
      <w:r w:rsidRPr="00E87B43">
        <w:rPr>
          <w:rFonts w:cstheme="minorHAnsi"/>
        </w:rPr>
        <w:t xml:space="preserve"> do kierowania robotami w specjalności drogowej, </w:t>
      </w: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budowie lub </w:t>
      </w:r>
      <w:r w:rsidRPr="00E87B43">
        <w:rPr>
          <w:rFonts w:cstheme="minorHAnsi"/>
        </w:rPr>
        <w:t xml:space="preserve">przebudowie lub </w:t>
      </w:r>
      <w:r>
        <w:rPr>
          <w:rFonts w:cstheme="minorHAnsi"/>
        </w:rPr>
        <w:t>rozbudowie</w:t>
      </w:r>
      <w:r w:rsidRPr="00E87B43">
        <w:rPr>
          <w:rFonts w:cstheme="minorHAnsi"/>
        </w:rPr>
        <w:t xml:space="preserve"> </w:t>
      </w:r>
      <w:r w:rsidRPr="0099028B">
        <w:rPr>
          <w:rFonts w:cstheme="minorHAnsi"/>
          <w:b/>
          <w:u w:val="single"/>
        </w:rPr>
        <w:t>co najmniej 1 inwestycji drogowej</w:t>
      </w:r>
      <w:r>
        <w:rPr>
          <w:rFonts w:cstheme="minorHAnsi"/>
        </w:rPr>
        <w:t>;</w:t>
      </w:r>
    </w:p>
    <w:p w14:paraId="6642B932" w14:textId="0BC808F4" w:rsidR="00E87B43" w:rsidRP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posiadającym uprawnienia budowlane do projektowania bez ograniczeń w specjalności drogowej</w:t>
      </w:r>
      <w:r w:rsidR="0099028B">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wprowadził wewnętrzne regulacje dotyczące odpowiedzialności i odszkodowań za nieprzestrzeganie przepisów, wewnętrznych regulacji lub standardów.</w:t>
      </w:r>
    </w:p>
    <w:p w14:paraId="1C0E4C05" w14:textId="6E0425AA" w:rsidR="00A012D2" w:rsidRPr="00D40CCB" w:rsidRDefault="00D40CCB"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lastRenderedPageBreak/>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6069582D"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w zakresie wskazanym w pkt</w:t>
      </w:r>
      <w:r w:rsidRPr="00481B79">
        <w:rPr>
          <w:rFonts w:cstheme="minorHAnsi"/>
        </w:rPr>
        <w:t xml:space="preserve">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w:t>
      </w:r>
      <w:r w:rsidR="00FF6FA2" w:rsidRPr="007800A9">
        <w:rPr>
          <w:rFonts w:eastAsia="Times New Roman" w:cstheme="minorHAnsi"/>
          <w:lang w:eastAsia="pl-PL"/>
        </w:rPr>
        <w:lastRenderedPageBreak/>
        <w:t xml:space="preserve">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w:t>
      </w:r>
      <w:r w:rsidR="00D7002F">
        <w:lastRenderedPageBreak/>
        <w:t xml:space="preserve">–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 w pkt 6.1 i 6.2 SWZ</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lastRenderedPageBreak/>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 xml:space="preserve">z </w:t>
      </w:r>
      <w:r w:rsidRPr="001C1B87">
        <w:rPr>
          <w:rFonts w:eastAsia="Trebuchet MS" w:cstheme="minorHAnsi"/>
          <w:lang w:bidi="pl-PL"/>
        </w:rPr>
        <w:lastRenderedPageBreak/>
        <w:t>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3BF48D86" w:rsidR="0049659E" w:rsidRPr="0049659E" w:rsidRDefault="0049659E" w:rsidP="00657815">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657815" w:rsidRPr="00657815">
        <w:rPr>
          <w:rFonts w:cstheme="minorHAnsi"/>
        </w:rPr>
        <w:t>2022/BZP 00062331/0</w:t>
      </w:r>
      <w:r w:rsidR="00657815">
        <w:rPr>
          <w:rFonts w:cstheme="minorHAnsi"/>
        </w:rPr>
        <w:t>.</w:t>
      </w:r>
      <w:bookmarkStart w:id="0" w:name="_GoBack"/>
      <w:bookmarkEnd w:id="0"/>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w:t>
      </w:r>
      <w:r w:rsidRPr="0049659E">
        <w:rPr>
          <w:rFonts w:asciiTheme="minorHAnsi" w:eastAsia="Trebuchet MS" w:hAnsiTheme="minorHAnsi" w:cstheme="minorHAnsi"/>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739DA118"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824C96" w:rsidRPr="000B2FF1">
        <w:rPr>
          <w:rFonts w:eastAsia="Times New Roman" w:cstheme="minorHAnsi"/>
          <w:b/>
          <w:lang w:eastAsia="pl-PL"/>
        </w:rPr>
        <w:t>Barbara Fiuk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7" w:history="1">
        <w:r w:rsidR="00824C96" w:rsidRPr="002F001B">
          <w:rPr>
            <w:rStyle w:val="Hipercze"/>
            <w:rFonts w:eastAsia="Times New Roman" w:cstheme="minorHAnsi"/>
            <w:lang w:eastAsia="pl-PL"/>
          </w:rPr>
          <w:t>b.fiuk@kije.pl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A448AF8"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561981">
        <w:rPr>
          <w:rFonts w:cstheme="minorHAnsi"/>
          <w:b/>
        </w:rPr>
        <w:t>11.03.</w:t>
      </w:r>
      <w:r w:rsidR="0025251B">
        <w:rPr>
          <w:rFonts w:cstheme="minorHAnsi"/>
          <w:b/>
        </w:rPr>
        <w:t>2022</w:t>
      </w:r>
      <w:r w:rsidR="002C219D" w:rsidRPr="00F72020">
        <w:rPr>
          <w:rFonts w:cstheme="minorHAnsi"/>
          <w:b/>
        </w:rPr>
        <w:t xml:space="preserve"> 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w:t>
      </w:r>
      <w:r w:rsidRPr="005143BD">
        <w:rPr>
          <w:rFonts w:cstheme="minorHAnsi"/>
        </w:rPr>
        <w:lastRenderedPageBreak/>
        <w:t>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466E2B4"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561981">
        <w:rPr>
          <w:rFonts w:cstheme="minorHAnsi"/>
          <w:b/>
        </w:rPr>
        <w:t>11.03.</w:t>
      </w:r>
      <w:r w:rsidR="0025251B">
        <w:rPr>
          <w:rFonts w:cstheme="minorHAnsi"/>
          <w:b/>
        </w:rPr>
        <w:t>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49A491EA"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561981">
        <w:rPr>
          <w:rFonts w:cstheme="minorHAnsi"/>
          <w:b/>
        </w:rPr>
        <w:t>0</w:t>
      </w:r>
      <w:r w:rsidR="00310C49">
        <w:rPr>
          <w:rFonts w:cstheme="minorHAnsi"/>
          <w:b/>
        </w:rPr>
        <w:t>9</w:t>
      </w:r>
      <w:r w:rsidR="00561981">
        <w:rPr>
          <w:rFonts w:cstheme="minorHAnsi"/>
          <w:b/>
        </w:rPr>
        <w:t>.04.</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25847B1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 xml:space="preserve">Wykonawca przystępujący do postępowania jest </w:t>
      </w:r>
      <w:r w:rsidRPr="00A75FFB">
        <w:rPr>
          <w:rFonts w:cstheme="minorHAnsi"/>
        </w:rPr>
        <w:t xml:space="preserve">zobowiązany, przed upływem terminu składania ofert, wnieść wadium w kwocie: </w:t>
      </w:r>
      <w:r w:rsidR="000B2FF1">
        <w:rPr>
          <w:rFonts w:cstheme="minorHAnsi"/>
          <w:b/>
        </w:rPr>
        <w:t>30.000,00</w:t>
      </w:r>
      <w:r w:rsidR="00A75FFB" w:rsidRPr="00F72020">
        <w:rPr>
          <w:rFonts w:cstheme="minorHAnsi"/>
          <w:b/>
        </w:rPr>
        <w:t xml:space="preserve">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0B2FF1">
        <w:rPr>
          <w:rFonts w:cstheme="minorHAnsi"/>
        </w:rPr>
        <w:t>trzydzieści tysięcy złotych</w:t>
      </w:r>
      <w:r w:rsidR="00A75FFB" w:rsidRPr="00A75FFB">
        <w:rPr>
          <w:rFonts w:cstheme="minorHAnsi"/>
        </w:rPr>
        <w:t xml:space="preserve"> 00/100).</w:t>
      </w:r>
    </w:p>
    <w:p w14:paraId="570037E7" w14:textId="7A66BE15"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561981">
        <w:rPr>
          <w:rFonts w:cstheme="minorHAnsi"/>
          <w:b/>
        </w:rPr>
        <w:t>0</w:t>
      </w:r>
      <w:r w:rsidR="00663AB8">
        <w:rPr>
          <w:rFonts w:cstheme="minorHAnsi"/>
          <w:b/>
        </w:rPr>
        <w:t>9</w:t>
      </w:r>
      <w:r w:rsidR="00561981">
        <w:rPr>
          <w:rFonts w:cstheme="minorHAnsi"/>
          <w:b/>
        </w:rPr>
        <w:t>.04.</w:t>
      </w:r>
      <w:r w:rsidR="0039515B">
        <w:rPr>
          <w:rFonts w:cstheme="minorHAnsi"/>
          <w:b/>
        </w:rPr>
        <w:t>2022</w:t>
      </w:r>
      <w:r w:rsidR="0039515B" w:rsidRPr="007717EC">
        <w:rPr>
          <w:rFonts w:cstheme="minorHAnsi"/>
          <w:b/>
        </w:rPr>
        <w:t xml:space="preserve">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39109B83" w14:textId="77777777" w:rsidR="000B2FF1" w:rsidRPr="00972F9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jakości – </w:t>
      </w:r>
      <w:r>
        <w:rPr>
          <w:rFonts w:eastAsia="Batang" w:cstheme="minorHAnsi"/>
          <w:b/>
          <w:lang w:eastAsia="x-none" w:bidi="pl-PL"/>
        </w:rPr>
        <w:t>2</w:t>
      </w:r>
      <w:r w:rsidRPr="00972F95">
        <w:rPr>
          <w:rFonts w:eastAsia="Batang" w:cstheme="minorHAnsi"/>
          <w:b/>
          <w:lang w:eastAsia="x-none" w:bidi="pl-PL"/>
        </w:rPr>
        <w:t>0%,</w:t>
      </w:r>
    </w:p>
    <w:p w14:paraId="56E5CCF9" w14:textId="023D5A0B" w:rsidR="000B2FF1" w:rsidRDefault="000B2FF1"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bidi="pl-PL"/>
        </w:rPr>
        <w:t>Doświadczenie kierownika budowy wyznaczonego do realizacji zamówienia</w:t>
      </w:r>
      <w:r>
        <w:rPr>
          <w:rFonts w:eastAsia="Batang" w:cstheme="minorHAnsi"/>
          <w:b/>
          <w:lang w:bidi="pl-PL"/>
        </w:rPr>
        <w:t xml:space="preserve"> –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lastRenderedPageBreak/>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D04AF4"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0F0B32">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252D897D" w:rsidR="000B2FF1" w:rsidRPr="000B2FF1" w:rsidRDefault="000B2FF1" w:rsidP="000F0B32">
            <w:pPr>
              <w:pStyle w:val="Tekstpodstawowywcity3"/>
              <w:spacing w:line="276" w:lineRule="auto"/>
              <w:ind w:left="0"/>
              <w:jc w:val="center"/>
              <w:rPr>
                <w:rFonts w:asciiTheme="minorHAnsi" w:eastAsia="Batang" w:hAnsiTheme="minorHAnsi" w:cstheme="minorHAnsi"/>
                <w:sz w:val="22"/>
                <w:szCs w:val="22"/>
                <w:lang w:bidi="pl-PL"/>
              </w:rPr>
            </w:pPr>
            <w:r w:rsidRPr="000B2FF1">
              <w:rPr>
                <w:rFonts w:asciiTheme="minorHAnsi" w:eastAsia="Batang" w:hAnsiTheme="minorHAnsi" w:cstheme="minorHAnsi"/>
                <w:sz w:val="22"/>
                <w:lang w:bidi="pl-PL"/>
              </w:rPr>
              <w:t>Doświadczenie kierownika budowy wyznaczonego do realizacji zamówienia</w:t>
            </w:r>
          </w:p>
        </w:tc>
        <w:tc>
          <w:tcPr>
            <w:tcW w:w="1416" w:type="dxa"/>
          </w:tcPr>
          <w:p w14:paraId="7284A4B5" w14:textId="65DCBBDB"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65AFB12F" w14:textId="601FA0C4"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17B1F436" w14:textId="77777777" w:rsidR="00561981" w:rsidRDefault="00561981" w:rsidP="003D255C">
      <w:pPr>
        <w:pStyle w:val="Normalny1"/>
        <w:spacing w:line="276" w:lineRule="auto"/>
        <w:ind w:left="641"/>
        <w:rPr>
          <w:rFonts w:asciiTheme="minorHAnsi" w:hAnsiTheme="minorHAnsi" w:cstheme="minorHAnsi"/>
          <w:sz w:val="22"/>
          <w:szCs w:val="22"/>
        </w:rPr>
      </w:pPr>
    </w:p>
    <w:p w14:paraId="20F27E15" w14:textId="77777777" w:rsidR="00561981" w:rsidRDefault="00561981" w:rsidP="003D255C">
      <w:pPr>
        <w:pStyle w:val="Normalny1"/>
        <w:spacing w:line="276" w:lineRule="auto"/>
        <w:ind w:left="641"/>
        <w:rPr>
          <w:rFonts w:asciiTheme="minorHAnsi" w:hAnsiTheme="minorHAnsi" w:cstheme="minorHAnsi"/>
          <w:sz w:val="22"/>
          <w:szCs w:val="22"/>
        </w:rPr>
      </w:pP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0B984FBE"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1467E86A"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48</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0784333B"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uzyska 10 pkt</w:t>
      </w:r>
      <w:r w:rsidR="00AD07DA">
        <w:rPr>
          <w:rFonts w:cstheme="minorHAnsi"/>
        </w:rPr>
        <w:t>,</w:t>
      </w:r>
    </w:p>
    <w:p w14:paraId="6B0052A1" w14:textId="3122F2A1"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Pr>
          <w:rFonts w:cstheme="minorHAnsi"/>
        </w:rPr>
        <w:t xml:space="preserve"> lub więcej miesięcy – oferta Wykonawcy </w:t>
      </w:r>
      <w:r w:rsidR="00AD07DA" w:rsidRPr="00BC5BDA">
        <w:rPr>
          <w:rFonts w:cstheme="minorHAnsi"/>
          <w:b/>
        </w:rPr>
        <w:t>uzyska 20 pkt</w:t>
      </w:r>
      <w:r w:rsidR="00AD07D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77777777" w:rsidR="00E22612" w:rsidRDefault="00E22612" w:rsidP="00E22612">
      <w:pPr>
        <w:spacing w:after="120" w:line="276" w:lineRule="auto"/>
        <w:ind w:left="357"/>
        <w:jc w:val="both"/>
        <w:rPr>
          <w:rFonts w:cstheme="minorHAnsi"/>
          <w:b/>
        </w:rPr>
      </w:pPr>
      <w:r w:rsidRPr="00BC5BDA">
        <w:rPr>
          <w:rFonts w:cstheme="minorHAnsi"/>
          <w:b/>
        </w:rPr>
        <w:t xml:space="preserve">Ad. 3 – </w:t>
      </w:r>
      <w:r w:rsidRPr="00BC5BDA">
        <w:rPr>
          <w:rFonts w:eastAsia="Batang" w:cstheme="minorHAnsi"/>
          <w:b/>
          <w:lang w:bidi="pl-PL"/>
        </w:rPr>
        <w:t>Doświadczenie kierownika budowy wyznaczonego do realizacji zamówienia</w:t>
      </w:r>
    </w:p>
    <w:p w14:paraId="3B4F6FE6" w14:textId="2226C38C" w:rsidR="00E22612" w:rsidRPr="00E22612" w:rsidRDefault="00E22612" w:rsidP="00E22612">
      <w:pPr>
        <w:spacing w:after="120" w:line="276" w:lineRule="auto"/>
        <w:ind w:left="357"/>
        <w:jc w:val="both"/>
        <w:rPr>
          <w:rFonts w:cstheme="minorHAnsi"/>
          <w:u w:val="single"/>
        </w:rPr>
      </w:pPr>
      <w:r>
        <w:rPr>
          <w:rFonts w:cstheme="minorHAnsi"/>
        </w:rPr>
        <w:t xml:space="preserve">W przypadku, gdy wyznaczony przez Wykonawcę do realizacji zamówienia </w:t>
      </w:r>
      <w:r w:rsidRPr="00BC5BDA">
        <w:rPr>
          <w:rFonts w:cstheme="minorHAnsi"/>
          <w:b/>
        </w:rPr>
        <w:t>kierownik budowy</w:t>
      </w:r>
      <w:r>
        <w:rPr>
          <w:rFonts w:cstheme="minorHAnsi"/>
        </w:rPr>
        <w:t xml:space="preserve">, który spełnia wymagania określone w pkt 5.2.4.b).i. SWZ, posiada </w:t>
      </w:r>
      <w:r w:rsidRPr="00E22612">
        <w:rPr>
          <w:rFonts w:cstheme="minorHAnsi"/>
          <w:b/>
          <w:u w:val="single"/>
        </w:rPr>
        <w:t>doświadczenie</w:t>
      </w:r>
      <w:r w:rsidRPr="00E22612">
        <w:rPr>
          <w:rFonts w:cstheme="minorHAnsi"/>
          <w:u w:val="single"/>
        </w:rPr>
        <w:t xml:space="preserve"> w pełnieniu funkcji kierownika budowy lub kierownika robót przy budowie lub przebudowie lub rozbudowie co najmniej 1 inwestycji drogowej</w:t>
      </w:r>
      <w:r>
        <w:rPr>
          <w:rFonts w:cstheme="minorHAnsi"/>
        </w:rPr>
        <w:t xml:space="preserve">, </w:t>
      </w:r>
      <w:r w:rsidRPr="00E22612">
        <w:rPr>
          <w:rFonts w:cstheme="minorHAnsi"/>
        </w:rPr>
        <w:t>oferta</w:t>
      </w:r>
      <w:r>
        <w:rPr>
          <w:rFonts w:cstheme="minorHAnsi"/>
        </w:rPr>
        <w:t xml:space="preserve"> Wykonawca otrzyma następującą ilość punktów:</w:t>
      </w:r>
    </w:p>
    <w:p w14:paraId="7184951B" w14:textId="1DCB787C"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przy realizacji 1 inwestycji drogowej</w:t>
      </w:r>
      <w:r>
        <w:rPr>
          <w:rFonts w:cstheme="minorHAnsi"/>
          <w:b/>
        </w:rPr>
        <w:t xml:space="preserve"> </w:t>
      </w:r>
      <w:r w:rsidRPr="00E22612">
        <w:rPr>
          <w:rFonts w:cstheme="minorHAnsi"/>
        </w:rPr>
        <w:t xml:space="preserve">– </w:t>
      </w:r>
      <w:r w:rsidRPr="00E22612">
        <w:rPr>
          <w:rFonts w:cstheme="minorHAnsi"/>
          <w:b/>
        </w:rPr>
        <w:t>0 pkt</w:t>
      </w:r>
      <w:r w:rsidRPr="00E22612">
        <w:rPr>
          <w:rFonts w:cstheme="minorHAnsi"/>
        </w:rPr>
        <w:t>,</w:t>
      </w:r>
    </w:p>
    <w:p w14:paraId="46DE42E3" w14:textId="5F13BFD1"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2</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10</w:t>
      </w:r>
      <w:r w:rsidRPr="00E22612">
        <w:rPr>
          <w:rFonts w:cstheme="minorHAnsi"/>
          <w:b/>
        </w:rPr>
        <w:t xml:space="preserve"> pkt</w:t>
      </w:r>
      <w:r w:rsidRPr="00E22612">
        <w:rPr>
          <w:rFonts w:cstheme="minorHAnsi"/>
        </w:rPr>
        <w:t>,</w:t>
      </w:r>
    </w:p>
    <w:p w14:paraId="68794F65" w14:textId="6C202EC9"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3</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20</w:t>
      </w:r>
      <w:r w:rsidRPr="00E22612">
        <w:rPr>
          <w:rFonts w:cstheme="minorHAnsi"/>
          <w:b/>
        </w:rPr>
        <w:t xml:space="preserve"> pkt</w:t>
      </w:r>
      <w:r>
        <w:rPr>
          <w:rFonts w:cstheme="minorHAnsi"/>
        </w:rPr>
        <w:t>.</w:t>
      </w:r>
    </w:p>
    <w:p w14:paraId="48A82FF3" w14:textId="77777777" w:rsidR="00E22612" w:rsidRDefault="00E22612" w:rsidP="00E22612">
      <w:pPr>
        <w:pStyle w:val="Akapitzlist"/>
        <w:spacing w:after="120" w:line="276" w:lineRule="auto"/>
        <w:ind w:left="357"/>
        <w:contextualSpacing w:val="0"/>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 wskazując:</w:t>
      </w:r>
    </w:p>
    <w:p w14:paraId="77445CA8"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imię i nazwisko kierownika budowy; </w:t>
      </w:r>
    </w:p>
    <w:p w14:paraId="14A3A201"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nazwę, datę zakończenia inwestycji (lub datę rozpoczęcia – w przypadku inwestycji, których realizacja jest w toku); </w:t>
      </w:r>
    </w:p>
    <w:p w14:paraId="648AB556"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podmiot, na rzecz którego realizowana była (lub jest realizowana) dana inwestycja.</w:t>
      </w:r>
    </w:p>
    <w:p w14:paraId="385B8E31" w14:textId="77777777" w:rsidR="00E22612" w:rsidRPr="00EB1C1F" w:rsidRDefault="00E22612" w:rsidP="00E22612">
      <w:pPr>
        <w:pStyle w:val="Akapitzlist"/>
        <w:spacing w:after="120" w:line="276" w:lineRule="auto"/>
        <w:ind w:left="357"/>
        <w:contextualSpacing w:val="0"/>
        <w:jc w:val="both"/>
        <w:rPr>
          <w:rFonts w:cstheme="minorHAnsi"/>
        </w:rPr>
      </w:pPr>
      <w:r w:rsidRPr="00E22612">
        <w:rPr>
          <w:rFonts w:cstheme="minorHAnsi"/>
          <w:u w:val="single"/>
        </w:rPr>
        <w:t>Niezłożenie informacji w ramach powyższego kryterium skutkowało będzie nieprzyznaniem punktów w obrębie tego kryterium</w:t>
      </w:r>
      <w:r>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lastRenderedPageBreak/>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 xml:space="preserve">kopii stosownych uprawnień budowlanych wraz z aktualnymi zaświadczeniami o </w:t>
      </w:r>
      <w:r w:rsidRPr="00CF1C14">
        <w:rPr>
          <w:rFonts w:eastAsia="Trebuchet MS" w:cstheme="minorHAnsi"/>
          <w:szCs w:val="20"/>
          <w:lang w:bidi="pl-PL"/>
        </w:rPr>
        <w:lastRenderedPageBreak/>
        <w:t>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lastRenderedPageBreak/>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565B" w14:textId="77777777" w:rsidR="00B358BD" w:rsidRDefault="00B358BD" w:rsidP="00BA7968">
      <w:pPr>
        <w:spacing w:after="0" w:line="240" w:lineRule="auto"/>
      </w:pPr>
      <w:r>
        <w:separator/>
      </w:r>
    </w:p>
  </w:endnote>
  <w:endnote w:type="continuationSeparator" w:id="0">
    <w:p w14:paraId="4BE83A94" w14:textId="77777777" w:rsidR="00B358BD" w:rsidRDefault="00B358BD"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D32647" w:rsidRPr="00BA7968" w:rsidRDefault="00D32647">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57815">
              <w:rPr>
                <w:bCs/>
                <w:noProof/>
                <w:sz w:val="20"/>
                <w:szCs w:val="20"/>
              </w:rPr>
              <w:t>31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57815">
              <w:rPr>
                <w:bCs/>
                <w:noProof/>
                <w:sz w:val="20"/>
                <w:szCs w:val="20"/>
              </w:rPr>
              <w:t>31</w:t>
            </w:r>
            <w:r w:rsidRPr="00BA7968">
              <w:rPr>
                <w:bCs/>
                <w:sz w:val="20"/>
                <w:szCs w:val="20"/>
              </w:rPr>
              <w:fldChar w:fldCharType="end"/>
            </w:r>
          </w:p>
        </w:sdtContent>
      </w:sdt>
    </w:sdtContent>
  </w:sdt>
  <w:p w14:paraId="7C227F30" w14:textId="77777777" w:rsidR="00D32647" w:rsidRDefault="00D326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DA4A" w14:textId="77777777" w:rsidR="00B358BD" w:rsidRDefault="00B358BD" w:rsidP="00BA7968">
      <w:pPr>
        <w:spacing w:after="0" w:line="240" w:lineRule="auto"/>
      </w:pPr>
      <w:r>
        <w:separator/>
      </w:r>
    </w:p>
  </w:footnote>
  <w:footnote w:type="continuationSeparator" w:id="0">
    <w:p w14:paraId="1A680909" w14:textId="77777777" w:rsidR="00B358BD" w:rsidRDefault="00B358BD"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48"/>
  </w:num>
  <w:num w:numId="3">
    <w:abstractNumId w:val="0"/>
  </w:num>
  <w:num w:numId="4">
    <w:abstractNumId w:val="72"/>
  </w:num>
  <w:num w:numId="5">
    <w:abstractNumId w:val="53"/>
  </w:num>
  <w:num w:numId="6">
    <w:abstractNumId w:val="33"/>
  </w:num>
  <w:num w:numId="7">
    <w:abstractNumId w:val="62"/>
  </w:num>
  <w:num w:numId="8">
    <w:abstractNumId w:val="23"/>
  </w:num>
  <w:num w:numId="9">
    <w:abstractNumId w:val="49"/>
  </w:num>
  <w:num w:numId="10">
    <w:abstractNumId w:val="11"/>
  </w:num>
  <w:num w:numId="11">
    <w:abstractNumId w:val="57"/>
  </w:num>
  <w:num w:numId="12">
    <w:abstractNumId w:val="27"/>
  </w:num>
  <w:num w:numId="13">
    <w:abstractNumId w:val="71"/>
  </w:num>
  <w:num w:numId="14">
    <w:abstractNumId w:val="67"/>
  </w:num>
  <w:num w:numId="15">
    <w:abstractNumId w:val="64"/>
  </w:num>
  <w:num w:numId="16">
    <w:abstractNumId w:val="10"/>
  </w:num>
  <w:num w:numId="17">
    <w:abstractNumId w:val="59"/>
  </w:num>
  <w:num w:numId="18">
    <w:abstractNumId w:val="45"/>
  </w:num>
  <w:num w:numId="19">
    <w:abstractNumId w:val="29"/>
  </w:num>
  <w:num w:numId="20">
    <w:abstractNumId w:val="44"/>
  </w:num>
  <w:num w:numId="21">
    <w:abstractNumId w:val="43"/>
  </w:num>
  <w:num w:numId="22">
    <w:abstractNumId w:val="21"/>
  </w:num>
  <w:num w:numId="23">
    <w:abstractNumId w:val="60"/>
  </w:num>
  <w:num w:numId="24">
    <w:abstractNumId w:val="14"/>
  </w:num>
  <w:num w:numId="25">
    <w:abstractNumId w:val="35"/>
  </w:num>
  <w:num w:numId="26">
    <w:abstractNumId w:val="50"/>
  </w:num>
  <w:num w:numId="27">
    <w:abstractNumId w:val="19"/>
  </w:num>
  <w:num w:numId="28">
    <w:abstractNumId w:val="15"/>
  </w:num>
  <w:num w:numId="29">
    <w:abstractNumId w:val="58"/>
  </w:num>
  <w:num w:numId="30">
    <w:abstractNumId w:val="22"/>
  </w:num>
  <w:num w:numId="31">
    <w:abstractNumId w:val="51"/>
  </w:num>
  <w:num w:numId="32">
    <w:abstractNumId w:val="69"/>
  </w:num>
  <w:num w:numId="33">
    <w:abstractNumId w:val="39"/>
  </w:num>
  <w:num w:numId="34">
    <w:abstractNumId w:val="52"/>
  </w:num>
  <w:num w:numId="35">
    <w:abstractNumId w:val="63"/>
  </w:num>
  <w:num w:numId="36">
    <w:abstractNumId w:val="31"/>
  </w:num>
  <w:num w:numId="37">
    <w:abstractNumId w:val="68"/>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5"/>
  </w:num>
  <w:num w:numId="48">
    <w:abstractNumId w:val="25"/>
  </w:num>
  <w:num w:numId="49">
    <w:abstractNumId w:val="30"/>
  </w:num>
  <w:num w:numId="50">
    <w:abstractNumId w:val="65"/>
  </w:num>
  <w:num w:numId="51">
    <w:abstractNumId w:val="24"/>
  </w:num>
  <w:num w:numId="52">
    <w:abstractNumId w:val="17"/>
  </w:num>
  <w:num w:numId="53">
    <w:abstractNumId w:val="18"/>
  </w:num>
  <w:num w:numId="54">
    <w:abstractNumId w:val="16"/>
  </w:num>
  <w:num w:numId="55">
    <w:abstractNumId w:val="38"/>
  </w:num>
  <w:num w:numId="56">
    <w:abstractNumId w:val="66"/>
  </w:num>
  <w:num w:numId="57">
    <w:abstractNumId w:val="56"/>
  </w:num>
  <w:num w:numId="58">
    <w:abstractNumId w:val="61"/>
  </w:num>
  <w:num w:numId="59">
    <w:abstractNumId w:val="70"/>
  </w:num>
  <w:num w:numId="60">
    <w:abstractNumId w:val="42"/>
  </w:num>
  <w:num w:numId="61">
    <w:abstractNumId w:val="73"/>
  </w:num>
  <w:num w:numId="62">
    <w:abstractNumId w:val="13"/>
  </w:num>
  <w:num w:numId="63">
    <w:abstractNumId w:val="74"/>
  </w:num>
  <w:num w:numId="64">
    <w:abstractNumId w:val="32"/>
  </w:num>
  <w:num w:numId="65">
    <w:abstractNumId w:val="47"/>
  </w:num>
  <w:num w:numId="66">
    <w:abstractNumId w:val="36"/>
  </w:num>
  <w:num w:numId="67">
    <w:abstractNumId w:val="54"/>
  </w:num>
  <w:num w:numId="68">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73D6"/>
    <w:rsid w:val="00092B8A"/>
    <w:rsid w:val="000940EA"/>
    <w:rsid w:val="000952EE"/>
    <w:rsid w:val="000956D1"/>
    <w:rsid w:val="00096084"/>
    <w:rsid w:val="000977AC"/>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94ECC"/>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646A"/>
    <w:rsid w:val="00226660"/>
    <w:rsid w:val="00230CB9"/>
    <w:rsid w:val="00231626"/>
    <w:rsid w:val="0023322D"/>
    <w:rsid w:val="00234962"/>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E157A"/>
    <w:rsid w:val="003E7A1A"/>
    <w:rsid w:val="003E7C54"/>
    <w:rsid w:val="003F750A"/>
    <w:rsid w:val="00403536"/>
    <w:rsid w:val="004038E9"/>
    <w:rsid w:val="00405202"/>
    <w:rsid w:val="004055B0"/>
    <w:rsid w:val="00406315"/>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6C15"/>
    <w:rsid w:val="0062070F"/>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590"/>
    <w:rsid w:val="006B1BE4"/>
    <w:rsid w:val="006B1C6E"/>
    <w:rsid w:val="006B5038"/>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42A38"/>
    <w:rsid w:val="00847C78"/>
    <w:rsid w:val="00851B81"/>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31DF"/>
    <w:rsid w:val="00A34617"/>
    <w:rsid w:val="00A3545C"/>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449A"/>
    <w:rsid w:val="00AD07DA"/>
    <w:rsid w:val="00AD4947"/>
    <w:rsid w:val="00AD69ED"/>
    <w:rsid w:val="00AD7C98"/>
    <w:rsid w:val="00AE3C3F"/>
    <w:rsid w:val="00AE4CBB"/>
    <w:rsid w:val="00AE608A"/>
    <w:rsid w:val="00AF486C"/>
    <w:rsid w:val="00AF70DE"/>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4ED2"/>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206F5"/>
    <w:rsid w:val="00E2133A"/>
    <w:rsid w:val="00E22612"/>
    <w:rsid w:val="00E2552E"/>
    <w:rsid w:val="00E373C8"/>
    <w:rsid w:val="00E41854"/>
    <w:rsid w:val="00E42101"/>
    <w:rsid w:val="00E51BDB"/>
    <w:rsid w:val="00E651EB"/>
    <w:rsid w:val="00E66091"/>
    <w:rsid w:val="00E72D05"/>
    <w:rsid w:val="00E75048"/>
    <w:rsid w:val="00E81C75"/>
    <w:rsid w:val="00E84D42"/>
    <w:rsid w:val="00E857C4"/>
    <w:rsid w:val="00E87B43"/>
    <w:rsid w:val="00E97A70"/>
    <w:rsid w:val="00EA2CC1"/>
    <w:rsid w:val="00EB1C1F"/>
    <w:rsid w:val="00EB3A15"/>
    <w:rsid w:val="00EC6DB9"/>
    <w:rsid w:val="00ED44E4"/>
    <w:rsid w:val="00EE192F"/>
    <w:rsid w:val="00EF4163"/>
    <w:rsid w:val="00F055F1"/>
    <w:rsid w:val="00F10F56"/>
    <w:rsid w:val="00F21166"/>
    <w:rsid w:val="00F24384"/>
    <w:rsid w:val="00F26864"/>
    <w:rsid w:val="00F34BA6"/>
    <w:rsid w:val="00F36D4C"/>
    <w:rsid w:val="00F52BA7"/>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b.fiuk@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0590-9D1E-48A6-AA45-C622507B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10947</Words>
  <Characters>65683</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5</cp:revision>
  <cp:lastPrinted>2022-02-07T13:51:00Z</cp:lastPrinted>
  <dcterms:created xsi:type="dcterms:W3CDTF">2022-02-18T11:59:00Z</dcterms:created>
  <dcterms:modified xsi:type="dcterms:W3CDTF">2022-02-18T14:36:00Z</dcterms:modified>
</cp:coreProperties>
</file>